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29" w:rsidRPr="00112D41" w:rsidRDefault="00605E29" w:rsidP="00605E29">
      <w:pPr>
        <w:jc w:val="center"/>
        <w:rPr>
          <w:b/>
        </w:rPr>
      </w:pPr>
    </w:p>
    <w:p w:rsidR="00605E29" w:rsidRPr="00112D41" w:rsidRDefault="00605E29" w:rsidP="00605E29">
      <w:pPr>
        <w:jc w:val="center"/>
        <w:rPr>
          <w:b/>
        </w:rPr>
      </w:pPr>
      <w:r w:rsidRPr="00112D41">
        <w:rPr>
          <w:b/>
        </w:rPr>
        <w:t>İSTANBUL TEKNİK ÜNİVERSİTESİ</w:t>
      </w:r>
    </w:p>
    <w:p w:rsidR="00605E29" w:rsidRPr="00112D41" w:rsidRDefault="00605E29" w:rsidP="00605E29">
      <w:pPr>
        <w:jc w:val="center"/>
        <w:rPr>
          <w:b/>
        </w:rPr>
      </w:pPr>
      <w:r w:rsidRPr="00112D41">
        <w:rPr>
          <w:b/>
        </w:rPr>
        <w:t xml:space="preserve">KURUM PERSONELİNİN AYLIK VE ÜCRETLERİNİN ÖDENMESİNE </w:t>
      </w:r>
    </w:p>
    <w:p w:rsidR="00605E29" w:rsidRPr="00112D41" w:rsidRDefault="00605E29" w:rsidP="00605E29">
      <w:pPr>
        <w:jc w:val="center"/>
        <w:rPr>
          <w:b/>
        </w:rPr>
      </w:pPr>
      <w:r w:rsidRPr="00112D41">
        <w:rPr>
          <w:b/>
        </w:rPr>
        <w:t>İLİŞKİN BANKA PROMOSYONU İHALE ŞARTNAMESİ</w:t>
      </w:r>
    </w:p>
    <w:p w:rsidR="00605E29" w:rsidRPr="00112D41" w:rsidRDefault="00605E29" w:rsidP="00605E29">
      <w:pPr>
        <w:pStyle w:val="Balk2"/>
        <w:jc w:val="center"/>
        <w:rPr>
          <w:rFonts w:ascii="Times New Roman" w:hAnsi="Times New Roman"/>
          <w:color w:val="FF0000"/>
          <w:sz w:val="24"/>
          <w:szCs w:val="24"/>
        </w:rPr>
      </w:pPr>
      <w:bookmarkStart w:id="0" w:name="_GoBack"/>
      <w:bookmarkEnd w:id="0"/>
    </w:p>
    <w:p w:rsidR="00605E29" w:rsidRPr="00112D41" w:rsidRDefault="00605E29" w:rsidP="00605E29">
      <w:pPr>
        <w:pStyle w:val="Balk2"/>
        <w:jc w:val="both"/>
        <w:rPr>
          <w:rFonts w:ascii="Times New Roman" w:hAnsi="Times New Roman"/>
          <w:color w:val="FF0000"/>
          <w:sz w:val="24"/>
          <w:szCs w:val="24"/>
        </w:rPr>
      </w:pPr>
    </w:p>
    <w:p w:rsidR="00605E29" w:rsidRPr="00112D41" w:rsidRDefault="00605E29" w:rsidP="00605E29">
      <w:pPr>
        <w:pStyle w:val="Balk2"/>
        <w:ind w:left="-142"/>
        <w:jc w:val="both"/>
        <w:rPr>
          <w:rFonts w:ascii="Times New Roman" w:hAnsi="Times New Roman"/>
          <w:color w:val="auto"/>
          <w:sz w:val="24"/>
          <w:szCs w:val="24"/>
        </w:rPr>
      </w:pPr>
      <w:r w:rsidRPr="00112D41">
        <w:rPr>
          <w:rFonts w:ascii="Times New Roman" w:hAnsi="Times New Roman"/>
          <w:color w:val="auto"/>
          <w:sz w:val="24"/>
          <w:szCs w:val="24"/>
        </w:rPr>
        <w:t xml:space="preserve">Madde 1 - </w:t>
      </w:r>
      <w:r w:rsidRPr="00112D41">
        <w:rPr>
          <w:rFonts w:ascii="Times New Roman" w:hAnsi="Times New Roman"/>
          <w:b w:val="0"/>
          <w:color w:val="auto"/>
          <w:sz w:val="24"/>
          <w:szCs w:val="24"/>
        </w:rPr>
        <w:t xml:space="preserve">İdareye ilişkin bilgiler </w:t>
      </w:r>
    </w:p>
    <w:p w:rsidR="00605E29" w:rsidRPr="00112D41" w:rsidRDefault="00605E29" w:rsidP="00605E29"/>
    <w:tbl>
      <w:tblPr>
        <w:tblW w:w="9072" w:type="dxa"/>
        <w:tblInd w:w="-72" w:type="dxa"/>
        <w:tblCellMar>
          <w:left w:w="70" w:type="dxa"/>
          <w:right w:w="70" w:type="dxa"/>
        </w:tblCellMar>
        <w:tblLook w:val="0000" w:firstRow="0" w:lastRow="0" w:firstColumn="0" w:lastColumn="0" w:noHBand="0" w:noVBand="0"/>
      </w:tblPr>
      <w:tblGrid>
        <w:gridCol w:w="3544"/>
        <w:gridCol w:w="5528"/>
      </w:tblGrid>
      <w:tr w:rsidR="00605E29" w:rsidRPr="00112D41" w:rsidTr="00FC6941">
        <w:tblPrEx>
          <w:tblCellMar>
            <w:top w:w="0" w:type="dxa"/>
            <w:bottom w:w="0" w:type="dxa"/>
          </w:tblCellMar>
        </w:tblPrEx>
        <w:tc>
          <w:tcPr>
            <w:tcW w:w="3544" w:type="dxa"/>
            <w:tcBorders>
              <w:top w:val="nil"/>
              <w:left w:val="nil"/>
              <w:bottom w:val="nil"/>
              <w:right w:val="nil"/>
            </w:tcBorders>
          </w:tcPr>
          <w:p w:rsidR="00605E29" w:rsidRPr="00112D41" w:rsidRDefault="00605E29" w:rsidP="00FC6941">
            <w:pPr>
              <w:pStyle w:val="AralkYok"/>
              <w:ind w:hanging="67"/>
              <w:rPr>
                <w:b/>
              </w:rPr>
            </w:pPr>
            <w:r w:rsidRPr="00112D41">
              <w:rPr>
                <w:b/>
              </w:rPr>
              <w:t>Adı</w:t>
            </w:r>
          </w:p>
        </w:tc>
        <w:tc>
          <w:tcPr>
            <w:tcW w:w="5528" w:type="dxa"/>
            <w:tcBorders>
              <w:top w:val="nil"/>
              <w:left w:val="nil"/>
              <w:bottom w:val="nil"/>
              <w:right w:val="nil"/>
            </w:tcBorders>
          </w:tcPr>
          <w:p w:rsidR="00605E29" w:rsidRPr="00112D41" w:rsidRDefault="00605E29" w:rsidP="00FC6941">
            <w:pPr>
              <w:pStyle w:val="AralkYok"/>
            </w:pPr>
            <w:r w:rsidRPr="00112D41">
              <w:t>: İstanbul Teknik Üniversitesi</w:t>
            </w:r>
          </w:p>
        </w:tc>
      </w:tr>
      <w:tr w:rsidR="00605E29" w:rsidRPr="00112D41" w:rsidTr="00FC6941">
        <w:tblPrEx>
          <w:tblCellMar>
            <w:top w:w="0" w:type="dxa"/>
            <w:bottom w:w="0" w:type="dxa"/>
          </w:tblCellMar>
        </w:tblPrEx>
        <w:tc>
          <w:tcPr>
            <w:tcW w:w="3544" w:type="dxa"/>
            <w:tcBorders>
              <w:top w:val="nil"/>
              <w:left w:val="nil"/>
              <w:bottom w:val="nil"/>
              <w:right w:val="nil"/>
            </w:tcBorders>
          </w:tcPr>
          <w:p w:rsidR="00605E29" w:rsidRPr="00112D41" w:rsidRDefault="00605E29" w:rsidP="00FC6941">
            <w:pPr>
              <w:pStyle w:val="AralkYok"/>
            </w:pPr>
            <w:r w:rsidRPr="00112D41">
              <w:t xml:space="preserve">  </w:t>
            </w:r>
          </w:p>
          <w:p w:rsidR="00605E29" w:rsidRPr="00112D41" w:rsidRDefault="00605E29" w:rsidP="00FC6941">
            <w:pPr>
              <w:pStyle w:val="AralkYok"/>
              <w:ind w:hanging="67"/>
              <w:rPr>
                <w:b/>
              </w:rPr>
            </w:pPr>
            <w:r w:rsidRPr="00112D41">
              <w:rPr>
                <w:b/>
              </w:rPr>
              <w:t>Adresi</w:t>
            </w:r>
          </w:p>
        </w:tc>
        <w:tc>
          <w:tcPr>
            <w:tcW w:w="5528" w:type="dxa"/>
            <w:tcBorders>
              <w:top w:val="nil"/>
              <w:left w:val="nil"/>
              <w:bottom w:val="nil"/>
              <w:right w:val="nil"/>
            </w:tcBorders>
          </w:tcPr>
          <w:p w:rsidR="00605E29" w:rsidRPr="00112D41" w:rsidRDefault="00605E29" w:rsidP="00FC6941">
            <w:pPr>
              <w:pStyle w:val="AralkYok"/>
            </w:pPr>
          </w:p>
          <w:p w:rsidR="00605E29" w:rsidRPr="00112D41" w:rsidRDefault="00605E29" w:rsidP="00FC6941">
            <w:pPr>
              <w:pStyle w:val="AralkYok"/>
            </w:pPr>
            <w:r w:rsidRPr="00112D41">
              <w:t>: İTÜ Rektörlüğü Maslak-İST.</w:t>
            </w:r>
          </w:p>
        </w:tc>
      </w:tr>
      <w:tr w:rsidR="00605E29" w:rsidRPr="00112D41" w:rsidTr="00FC6941">
        <w:tblPrEx>
          <w:tblCellMar>
            <w:top w:w="0" w:type="dxa"/>
            <w:bottom w:w="0" w:type="dxa"/>
          </w:tblCellMar>
        </w:tblPrEx>
        <w:trPr>
          <w:trHeight w:val="87"/>
        </w:trPr>
        <w:tc>
          <w:tcPr>
            <w:tcW w:w="3544" w:type="dxa"/>
            <w:tcBorders>
              <w:top w:val="nil"/>
              <w:left w:val="nil"/>
              <w:bottom w:val="nil"/>
              <w:right w:val="nil"/>
            </w:tcBorders>
          </w:tcPr>
          <w:p w:rsidR="00605E29" w:rsidRPr="00112D41" w:rsidRDefault="00605E29" w:rsidP="00FC6941">
            <w:pPr>
              <w:pStyle w:val="AralkYok"/>
            </w:pPr>
            <w:r w:rsidRPr="00112D41">
              <w:t xml:space="preserve">  </w:t>
            </w:r>
          </w:p>
          <w:p w:rsidR="00605E29" w:rsidRPr="00112D41" w:rsidRDefault="00605E29" w:rsidP="00FC6941">
            <w:pPr>
              <w:pStyle w:val="AralkYok"/>
              <w:ind w:hanging="67"/>
              <w:rPr>
                <w:b/>
              </w:rPr>
            </w:pPr>
            <w:r w:rsidRPr="00112D41">
              <w:rPr>
                <w:b/>
              </w:rPr>
              <w:t>Telefon ve Faks Numarası</w:t>
            </w:r>
          </w:p>
        </w:tc>
        <w:tc>
          <w:tcPr>
            <w:tcW w:w="5528" w:type="dxa"/>
            <w:tcBorders>
              <w:top w:val="nil"/>
              <w:left w:val="nil"/>
              <w:bottom w:val="nil"/>
              <w:right w:val="nil"/>
            </w:tcBorders>
          </w:tcPr>
          <w:p w:rsidR="00605E29" w:rsidRPr="00112D41" w:rsidRDefault="00605E29" w:rsidP="00FC6941">
            <w:pPr>
              <w:pStyle w:val="AralkYok"/>
            </w:pPr>
          </w:p>
          <w:p w:rsidR="00605E29" w:rsidRPr="00112D41" w:rsidRDefault="00605E29" w:rsidP="00FC6941">
            <w:pPr>
              <w:pStyle w:val="AralkYok"/>
            </w:pPr>
            <w:r w:rsidRPr="00112D41">
              <w:t>: 0212 285 39 56-0212 285 39 72 / Fax: 0212 285 30 03</w:t>
            </w:r>
          </w:p>
          <w:p w:rsidR="00605E29" w:rsidRPr="00112D41" w:rsidRDefault="00605E29" w:rsidP="00FC6941">
            <w:pPr>
              <w:pStyle w:val="AralkYok"/>
            </w:pPr>
          </w:p>
        </w:tc>
      </w:tr>
      <w:tr w:rsidR="00605E29" w:rsidRPr="00112D41" w:rsidTr="00FC6941">
        <w:tblPrEx>
          <w:tblCellMar>
            <w:top w:w="0" w:type="dxa"/>
            <w:bottom w:w="0" w:type="dxa"/>
          </w:tblCellMar>
        </w:tblPrEx>
        <w:tc>
          <w:tcPr>
            <w:tcW w:w="3544" w:type="dxa"/>
            <w:tcBorders>
              <w:top w:val="nil"/>
              <w:left w:val="nil"/>
              <w:bottom w:val="nil"/>
              <w:right w:val="nil"/>
            </w:tcBorders>
          </w:tcPr>
          <w:p w:rsidR="00605E29" w:rsidRPr="00112D41" w:rsidRDefault="00605E29" w:rsidP="00FC6941">
            <w:pPr>
              <w:pStyle w:val="AralkYok"/>
              <w:ind w:hanging="67"/>
              <w:rPr>
                <w:b/>
              </w:rPr>
            </w:pPr>
            <w:r w:rsidRPr="00112D41">
              <w:rPr>
                <w:b/>
              </w:rPr>
              <w:t xml:space="preserve">Elektronik Posta Adresi                            </w:t>
            </w:r>
          </w:p>
        </w:tc>
        <w:tc>
          <w:tcPr>
            <w:tcW w:w="5528" w:type="dxa"/>
            <w:tcBorders>
              <w:top w:val="nil"/>
              <w:left w:val="nil"/>
              <w:bottom w:val="nil"/>
              <w:right w:val="nil"/>
            </w:tcBorders>
          </w:tcPr>
          <w:p w:rsidR="00605E29" w:rsidRPr="00112D41" w:rsidRDefault="00605E29" w:rsidP="00FC6941">
            <w:pPr>
              <w:pStyle w:val="AralkYok"/>
            </w:pPr>
            <w:r w:rsidRPr="00112D41">
              <w:t>: sgdb@itu.edu.tr</w:t>
            </w:r>
          </w:p>
        </w:tc>
      </w:tr>
    </w:tbl>
    <w:p w:rsidR="00605E29" w:rsidRPr="00112D41" w:rsidRDefault="00605E29" w:rsidP="00605E29">
      <w:pPr>
        <w:tabs>
          <w:tab w:val="left" w:pos="284"/>
          <w:tab w:val="left" w:pos="8280"/>
          <w:tab w:val="left" w:pos="8460"/>
          <w:tab w:val="left" w:pos="8640"/>
        </w:tabs>
        <w:ind w:left="284"/>
      </w:pPr>
      <w:r w:rsidRPr="00112D41">
        <w:t xml:space="preserve"> </w:t>
      </w:r>
    </w:p>
    <w:p w:rsidR="00605E29" w:rsidRDefault="00605E29" w:rsidP="00605E29">
      <w:pPr>
        <w:tabs>
          <w:tab w:val="left" w:pos="8280"/>
          <w:tab w:val="left" w:pos="8460"/>
          <w:tab w:val="left" w:pos="8640"/>
        </w:tabs>
        <w:ind w:left="-142"/>
      </w:pPr>
      <w:r w:rsidRPr="00112D41">
        <w:rPr>
          <w:b/>
        </w:rPr>
        <w:t>Teklif Mektuplarının Teslim Edileceği Yer:</w:t>
      </w:r>
      <w:r w:rsidRPr="00112D41">
        <w:t xml:space="preserve"> İTÜ Strateji Geliştirme Daire Başkanlığı Muhasebe Kesin Hesap ve Raporlama Birimi Oda No: 119</w:t>
      </w:r>
    </w:p>
    <w:p w:rsidR="00605E29" w:rsidRDefault="00605E29" w:rsidP="00605E29">
      <w:pPr>
        <w:tabs>
          <w:tab w:val="left" w:pos="8280"/>
          <w:tab w:val="left" w:pos="8460"/>
          <w:tab w:val="left" w:pos="8640"/>
        </w:tabs>
        <w:ind w:left="-142"/>
      </w:pPr>
    </w:p>
    <w:p w:rsidR="00605E29" w:rsidRPr="00A064F9" w:rsidRDefault="00605E29" w:rsidP="00605E29">
      <w:pPr>
        <w:tabs>
          <w:tab w:val="left" w:pos="8280"/>
          <w:tab w:val="left" w:pos="8460"/>
          <w:tab w:val="left" w:pos="8640"/>
        </w:tabs>
        <w:ind w:left="-142"/>
        <w:rPr>
          <w:b/>
        </w:rPr>
      </w:pPr>
      <w:r w:rsidRPr="00820F2E">
        <w:rPr>
          <w:b/>
        </w:rPr>
        <w:t>İhale Tarih ve Saati:</w:t>
      </w:r>
      <w:r>
        <w:rPr>
          <w:b/>
        </w:rPr>
        <w:t xml:space="preserve"> </w:t>
      </w:r>
      <w:r w:rsidRPr="007438ED">
        <w:rPr>
          <w:bCs/>
        </w:rPr>
        <w:t>19/03/2025 10:00</w:t>
      </w:r>
    </w:p>
    <w:p w:rsidR="00605E29" w:rsidRPr="00620F5D" w:rsidRDefault="00605E29" w:rsidP="00605E29">
      <w:pPr>
        <w:tabs>
          <w:tab w:val="left" w:pos="8280"/>
          <w:tab w:val="left" w:pos="8460"/>
          <w:tab w:val="left" w:pos="8640"/>
        </w:tabs>
        <w:ind w:left="-142"/>
        <w:rPr>
          <w:color w:val="FF0000"/>
        </w:rPr>
      </w:pPr>
    </w:p>
    <w:p w:rsidR="00605E29" w:rsidRPr="004754C9" w:rsidRDefault="00605E29" w:rsidP="00605E29">
      <w:pPr>
        <w:tabs>
          <w:tab w:val="left" w:pos="8280"/>
          <w:tab w:val="left" w:pos="8460"/>
          <w:tab w:val="left" w:pos="8640"/>
        </w:tabs>
        <w:ind w:left="-142"/>
        <w:rPr>
          <w:b/>
        </w:rPr>
      </w:pPr>
      <w:r w:rsidRPr="004754C9">
        <w:rPr>
          <w:b/>
        </w:rPr>
        <w:t>İhalenin Yapılacağı Yer:</w:t>
      </w:r>
      <w:r w:rsidRPr="004754C9">
        <w:t xml:space="preserve"> </w:t>
      </w:r>
      <w:r>
        <w:t>İstanbul Teknik Üniversitesi Rektörlük Binası Senato Odası</w:t>
      </w:r>
    </w:p>
    <w:p w:rsidR="00605E29" w:rsidRDefault="00605E29" w:rsidP="00605E29">
      <w:pPr>
        <w:tabs>
          <w:tab w:val="left" w:pos="2970"/>
        </w:tabs>
        <w:rPr>
          <w:color w:val="FF0000"/>
        </w:rPr>
      </w:pPr>
      <w:r>
        <w:rPr>
          <w:color w:val="FF0000"/>
        </w:rPr>
        <w:tab/>
      </w:r>
    </w:p>
    <w:p w:rsidR="00605E29" w:rsidRPr="00112D41" w:rsidRDefault="00605E29" w:rsidP="00605E29">
      <w:pPr>
        <w:tabs>
          <w:tab w:val="left" w:pos="8460"/>
          <w:tab w:val="left" w:pos="8640"/>
        </w:tabs>
        <w:rPr>
          <w:color w:val="FF0000"/>
        </w:rPr>
      </w:pPr>
    </w:p>
    <w:p w:rsidR="00605E29" w:rsidRPr="00112D41" w:rsidRDefault="00605E29" w:rsidP="00605E29">
      <w:pPr>
        <w:tabs>
          <w:tab w:val="left" w:pos="8460"/>
          <w:tab w:val="left" w:pos="8640"/>
        </w:tabs>
        <w:rPr>
          <w:b/>
        </w:rPr>
      </w:pPr>
      <w:r w:rsidRPr="00112D41">
        <w:rPr>
          <w:b/>
        </w:rPr>
        <w:t>TANIMLAR:</w:t>
      </w:r>
    </w:p>
    <w:p w:rsidR="00605E29" w:rsidRPr="00112D41" w:rsidRDefault="00605E29" w:rsidP="00605E29">
      <w:pPr>
        <w:tabs>
          <w:tab w:val="left" w:pos="8460"/>
          <w:tab w:val="left" w:pos="8640"/>
        </w:tabs>
        <w:rPr>
          <w:b/>
        </w:rPr>
      </w:pPr>
    </w:p>
    <w:p w:rsidR="00605E29" w:rsidRPr="00112D41" w:rsidRDefault="00605E29" w:rsidP="00605E29">
      <w:r w:rsidRPr="00112D41">
        <w:rPr>
          <w:b/>
        </w:rPr>
        <w:t>Kurum:</w:t>
      </w:r>
      <w:r w:rsidRPr="00112D41">
        <w:t xml:space="preserve">  İstanbul Teknik Üniversitesi Rektörlüğü</w:t>
      </w:r>
    </w:p>
    <w:p w:rsidR="00605E29" w:rsidRPr="00112D41" w:rsidRDefault="00605E29" w:rsidP="00605E29">
      <w:pPr>
        <w:tabs>
          <w:tab w:val="left" w:pos="4962"/>
        </w:tabs>
      </w:pPr>
    </w:p>
    <w:p w:rsidR="00605E29" w:rsidRPr="00112D41" w:rsidRDefault="00605E29" w:rsidP="00605E29">
      <w:r w:rsidRPr="00112D41">
        <w:rPr>
          <w:b/>
        </w:rPr>
        <w:t>Birim:</w:t>
      </w:r>
      <w:r w:rsidRPr="00112D41">
        <w:t xml:space="preserve"> İstanbul Teknik Üniversitesinin İstanbul il merkezi ve ilçelerinde bulunan akademik ve idari birimlerinin her birini.</w:t>
      </w:r>
    </w:p>
    <w:p w:rsidR="00605E29" w:rsidRPr="00112D41" w:rsidRDefault="00605E29" w:rsidP="00605E29"/>
    <w:p w:rsidR="00605E29" w:rsidRPr="00112D41" w:rsidRDefault="00605E29" w:rsidP="00605E29">
      <w:r w:rsidRPr="00112D41">
        <w:rPr>
          <w:b/>
        </w:rPr>
        <w:t>Personel:</w:t>
      </w:r>
      <w:r w:rsidRPr="00112D41">
        <w:t xml:space="preserve"> Üniversitemiz birimlerinde akademik, idari, sözleşmeli ve işçi olarak görev yapan tüm çalışanları.</w:t>
      </w:r>
    </w:p>
    <w:p w:rsidR="00605E29" w:rsidRPr="00112D41" w:rsidRDefault="00605E29" w:rsidP="00605E29"/>
    <w:p w:rsidR="00605E29" w:rsidRPr="00112D41" w:rsidRDefault="00605E29" w:rsidP="00605E29">
      <w:r w:rsidRPr="00112D41">
        <w:rPr>
          <w:b/>
        </w:rPr>
        <w:t>Maaş:</w:t>
      </w:r>
      <w:r w:rsidRPr="00112D41">
        <w:t xml:space="preserve"> Personele bordroya dayalı olarak yapılan aylık ve ücret (bunlarla birlikte ödenen aile yardımı vb. gibi özlük hakları) ile aylıklara ilişkin ödeme sürelerine tabi işçilere yapılacak ikramiye ve ilave ödemeleri,</w:t>
      </w:r>
    </w:p>
    <w:p w:rsidR="00605E29" w:rsidRPr="00112D41" w:rsidRDefault="00605E29" w:rsidP="00605E29"/>
    <w:p w:rsidR="00605E29" w:rsidRPr="00112D41" w:rsidRDefault="00605E29" w:rsidP="00605E29">
      <w:r w:rsidRPr="00112D41">
        <w:rPr>
          <w:b/>
        </w:rPr>
        <w:t xml:space="preserve">Diğer ödemeler: </w:t>
      </w:r>
      <w:r w:rsidRPr="00112D41">
        <w:t>Personele maaştan ayrı olarak ödenen fazla çalışma ücreti, ek ödeme, ek ders ödemeleri, döner sermaye, ikramiye, vekalet ücreti, yolluk (mevzuatı gereği ilgilinin hesabına ödenenler hariç) vb. her türlü ödemeler.</w:t>
      </w:r>
    </w:p>
    <w:p w:rsidR="00605E29" w:rsidRPr="00112D41" w:rsidRDefault="00605E29" w:rsidP="00605E29"/>
    <w:p w:rsidR="00605E29" w:rsidRPr="00112D41" w:rsidRDefault="00605E29" w:rsidP="00605E29">
      <w:r w:rsidRPr="00112D41">
        <w:rPr>
          <w:b/>
        </w:rPr>
        <w:t>Komisyon:</w:t>
      </w:r>
      <w:r w:rsidRPr="00112D41">
        <w:t xml:space="preserve"> Personel maaş ve ödemelerinin bankacılık ödeme sistemi aracılığıyla yapılması ile ilgili olarak protokol yapılacak bankanın seçimi ve promosyon tutarının belirlenmesine ilişkin çalışmaları yürütmek üzere Rektörlük Onayı ile oluşturulan komisyonu.</w:t>
      </w:r>
    </w:p>
    <w:p w:rsidR="00605E29" w:rsidRPr="00112D41" w:rsidRDefault="00605E29" w:rsidP="00605E29"/>
    <w:p w:rsidR="00605E29" w:rsidRPr="00112D41" w:rsidRDefault="00605E29" w:rsidP="00605E29">
      <w:r w:rsidRPr="00112D41">
        <w:rPr>
          <w:b/>
        </w:rPr>
        <w:t>Banka:</w:t>
      </w:r>
      <w:r>
        <w:t xml:space="preserve"> </w:t>
      </w:r>
      <w:r w:rsidRPr="00112D41">
        <w:t>İhale üzerinde kalan ve protokol imzalanan bankayı.</w:t>
      </w:r>
    </w:p>
    <w:p w:rsidR="00605E29" w:rsidRPr="00112D41" w:rsidRDefault="00605E29" w:rsidP="00605E29"/>
    <w:p w:rsidR="00605E29" w:rsidRPr="00112D41" w:rsidRDefault="00605E29" w:rsidP="00605E29">
      <w:r w:rsidRPr="00112D41">
        <w:rPr>
          <w:b/>
        </w:rPr>
        <w:t>İstekli:</w:t>
      </w:r>
      <w:r w:rsidRPr="00112D41">
        <w:t xml:space="preserve"> İhaleye teklif veren her bir bankayı.</w:t>
      </w:r>
    </w:p>
    <w:p w:rsidR="00605E29" w:rsidRPr="00112D41" w:rsidRDefault="00605E29" w:rsidP="00605E29">
      <w:pPr>
        <w:rPr>
          <w:b/>
        </w:rPr>
      </w:pPr>
    </w:p>
    <w:p w:rsidR="00605E29" w:rsidRPr="00112D41" w:rsidRDefault="00605E29" w:rsidP="00605E29">
      <w:r w:rsidRPr="00112D41">
        <w:rPr>
          <w:b/>
        </w:rPr>
        <w:lastRenderedPageBreak/>
        <w:t>Promosyon</w:t>
      </w:r>
      <w:r w:rsidRPr="00112D41">
        <w:t>: Maaş ile diğer ödemelerin, bankacılık ödeme sistemi aracılığıyla yapılması karşılığında Banka tarafından ilgili personelin hesabına doğrudan aktarılmak suretiyle ödenmesi gereken nakit parayı, (kişi başına 36 aylık süre için teklif edilen tutar)</w:t>
      </w:r>
    </w:p>
    <w:p w:rsidR="00605E29" w:rsidRPr="00112D41" w:rsidRDefault="00605E29" w:rsidP="00605E29"/>
    <w:p w:rsidR="00605E29" w:rsidRPr="00112D41" w:rsidRDefault="00605E29" w:rsidP="00605E29">
      <w:r w:rsidRPr="00112D41">
        <w:rPr>
          <w:b/>
        </w:rPr>
        <w:t>Protokol:</w:t>
      </w:r>
      <w:r w:rsidRPr="00112D41">
        <w:t xml:space="preserve"> Üniversite ile banka arasında imzalanan protokolü ifade eder.</w:t>
      </w:r>
    </w:p>
    <w:p w:rsidR="00605E29" w:rsidRPr="00112D41" w:rsidRDefault="00605E29" w:rsidP="00605E29">
      <w:pPr>
        <w:tabs>
          <w:tab w:val="left" w:pos="8460"/>
          <w:tab w:val="left" w:pos="8640"/>
        </w:tabs>
        <w:rPr>
          <w:b/>
          <w:color w:val="FF0000"/>
        </w:rPr>
      </w:pPr>
    </w:p>
    <w:p w:rsidR="00605E29" w:rsidRPr="00112D41" w:rsidRDefault="00605E29" w:rsidP="00605E29">
      <w:pPr>
        <w:tabs>
          <w:tab w:val="left" w:pos="8460"/>
          <w:tab w:val="left" w:pos="8640"/>
        </w:tabs>
        <w:rPr>
          <w:b/>
        </w:rPr>
      </w:pPr>
      <w:r w:rsidRPr="00112D41">
        <w:rPr>
          <w:b/>
        </w:rPr>
        <w:t>KAPSAM:</w:t>
      </w:r>
    </w:p>
    <w:p w:rsidR="00605E29" w:rsidRPr="00112D41" w:rsidRDefault="00605E29" w:rsidP="00605E29">
      <w:pPr>
        <w:tabs>
          <w:tab w:val="left" w:pos="8460"/>
          <w:tab w:val="left" w:pos="8640"/>
        </w:tabs>
        <w:rPr>
          <w:b/>
        </w:rPr>
      </w:pPr>
    </w:p>
    <w:p w:rsidR="00605E29" w:rsidRPr="00112D41" w:rsidRDefault="00605E29" w:rsidP="00605E29">
      <w:pPr>
        <w:autoSpaceDE w:val="0"/>
        <w:autoSpaceDN w:val="0"/>
        <w:adjustRightInd w:val="0"/>
        <w:ind w:firstLine="708"/>
      </w:pPr>
      <w:r w:rsidRPr="00112D41">
        <w:t xml:space="preserve">Protokol, Tanımlar kısmında belirtilen ve "Kurum"da çalışan mevcut "Personel" ile aynı personel tanımına uyan ve Kuruma açıktan atama </w:t>
      </w:r>
      <w:r>
        <w:t xml:space="preserve">veya naklen atama yoluyla gelen </w:t>
      </w:r>
      <w:r w:rsidRPr="00112D41">
        <w:t>personeli kapsamaktadır. Kısmi zamanlı öğrenci, sadece ders karşılığı ücret alanlar, araştırma projesi kapsamında çalışanlar protokole dahil değildir.</w:t>
      </w:r>
    </w:p>
    <w:p w:rsidR="00605E29" w:rsidRPr="00112D41" w:rsidRDefault="00605E29" w:rsidP="00605E29">
      <w:pPr>
        <w:tabs>
          <w:tab w:val="left" w:pos="8460"/>
          <w:tab w:val="left" w:pos="8640"/>
        </w:tabs>
        <w:rPr>
          <w:color w:val="FF0000"/>
        </w:rPr>
      </w:pPr>
    </w:p>
    <w:p w:rsidR="00605E29" w:rsidRPr="00112D41" w:rsidRDefault="00605E29" w:rsidP="00605E29">
      <w:pPr>
        <w:jc w:val="both"/>
      </w:pPr>
      <w:r w:rsidRPr="00112D41">
        <w:rPr>
          <w:b/>
        </w:rPr>
        <w:t xml:space="preserve">Madde 2 - </w:t>
      </w:r>
      <w:r w:rsidRPr="00112D41">
        <w:t xml:space="preserve">İhale konusu işin niteliği </w:t>
      </w:r>
    </w:p>
    <w:p w:rsidR="00605E29" w:rsidRPr="00112D41" w:rsidRDefault="00605E29" w:rsidP="00605E29">
      <w:pPr>
        <w:jc w:val="both"/>
      </w:pPr>
    </w:p>
    <w:p w:rsidR="00605E29" w:rsidRPr="00112D41" w:rsidRDefault="00605E29" w:rsidP="00605E29">
      <w:pPr>
        <w:ind w:firstLine="708"/>
        <w:jc w:val="both"/>
      </w:pPr>
      <w:r w:rsidRPr="00112D41">
        <w:t>Üniversitemiz personelinin aylık ve</w:t>
      </w:r>
      <w:r>
        <w:t xml:space="preserve"> ücretlerinin ödenmesi işi, </w:t>
      </w:r>
      <w:r w:rsidRPr="00112D41">
        <w:t>Başbakanlığın 20 Temmuz 2007 tarih ve 2007/21 sayılı genelgesine dayanılarak</w:t>
      </w:r>
      <w:r>
        <w:t xml:space="preserve"> </w:t>
      </w:r>
      <w:r w:rsidRPr="00112D41">
        <w:t>Kapalı Zarf Teklif Alma</w:t>
      </w:r>
      <w:r>
        <w:t xml:space="preserve"> (açık arttırma)</w:t>
      </w:r>
      <w:r w:rsidRPr="00112D41">
        <w:t xml:space="preserve"> Usulü </w:t>
      </w:r>
      <w:r>
        <w:t xml:space="preserve">ile </w:t>
      </w:r>
      <w:r w:rsidRPr="00112D41">
        <w:t>ihale edilecektir.</w:t>
      </w:r>
    </w:p>
    <w:p w:rsidR="00605E29" w:rsidRPr="00820F2E" w:rsidRDefault="00605E29" w:rsidP="00605E29">
      <w:pPr>
        <w:ind w:firstLine="708"/>
        <w:jc w:val="both"/>
      </w:pPr>
      <w:r w:rsidRPr="00F90886">
        <w:t>İstanbul Teknik Üniversitesinde 15.0</w:t>
      </w:r>
      <w:r>
        <w:t>1</w:t>
      </w:r>
      <w:r w:rsidRPr="00F90886">
        <w:t>.202</w:t>
      </w:r>
      <w:r>
        <w:t>5</w:t>
      </w:r>
      <w:r w:rsidRPr="00F90886">
        <w:t xml:space="preserve"> tarihi itibariyle</w:t>
      </w:r>
      <w:r w:rsidRPr="00112D41">
        <w:rPr>
          <w:color w:val="FF0000"/>
        </w:rPr>
        <w:t xml:space="preserve"> </w:t>
      </w:r>
      <w:r w:rsidRPr="00820F2E">
        <w:t>4.3</w:t>
      </w:r>
      <w:r>
        <w:t>49</w:t>
      </w:r>
      <w:r w:rsidRPr="00820F2E">
        <w:t xml:space="preserve"> personel bulunmakta olup yıllık nakit akışının</w:t>
      </w:r>
      <w:r w:rsidRPr="00112D41">
        <w:rPr>
          <w:color w:val="FF0000"/>
        </w:rPr>
        <w:t xml:space="preserve"> </w:t>
      </w:r>
      <w:r w:rsidRPr="00B159F6">
        <w:t>(p</w:t>
      </w:r>
      <w:r w:rsidRPr="00820F2E">
        <w:t>ersonele yapılacak aylık ve ücretler, döner sermaye payı, ek ders vb. ödemeler) yaklaşık</w:t>
      </w:r>
      <w:r>
        <w:t xml:space="preserve"> 6.423.306.028,59 TL (altı milyar dört yüz yirmi üç milyon üç yüz altı bin yirmi sekiz virgül elli dokuz) </w:t>
      </w:r>
      <w:r w:rsidRPr="00820F2E">
        <w:t xml:space="preserve">olarak gerçekleşmesi öngörülmektedir. </w:t>
      </w:r>
    </w:p>
    <w:p w:rsidR="00605E29" w:rsidRPr="00820F2E" w:rsidRDefault="00605E29" w:rsidP="00605E29">
      <w:pPr>
        <w:jc w:val="both"/>
      </w:pPr>
    </w:p>
    <w:p w:rsidR="00605E29" w:rsidRPr="00820F2E" w:rsidRDefault="00605E29" w:rsidP="00605E29">
      <w:pPr>
        <w:jc w:val="both"/>
      </w:pPr>
      <w:r w:rsidRPr="00820F2E">
        <w:t xml:space="preserve">*Personel sayısı ve nakit akışına ilişkin çizelgeler şartname ekinde yer almaktadır. </w:t>
      </w:r>
    </w:p>
    <w:p w:rsidR="00605E29" w:rsidRPr="00112D41" w:rsidRDefault="00605E29" w:rsidP="00605E29">
      <w:pPr>
        <w:jc w:val="both"/>
        <w:rPr>
          <w:b/>
          <w:color w:val="FF0000"/>
        </w:rPr>
      </w:pPr>
    </w:p>
    <w:p w:rsidR="00605E29" w:rsidRPr="00112D41" w:rsidRDefault="00605E29" w:rsidP="00605E29">
      <w:pPr>
        <w:jc w:val="both"/>
      </w:pPr>
      <w:r w:rsidRPr="00112D41">
        <w:rPr>
          <w:b/>
        </w:rPr>
        <w:t xml:space="preserve">Madde 3- </w:t>
      </w:r>
      <w:r w:rsidRPr="00112D41">
        <w:t xml:space="preserve">İhalede, İstanbul Teknik Üniversitesi personelinin yarıyıl ve yaz tatillerinde işlem yapma konusunda sıkıntı çekmeyeceği, yaygın servis ağı bulunan ve İstanbul ilinde şube sayısı 100’ün üzerinde bulunan bankalar esas alınacaktır. </w:t>
      </w:r>
    </w:p>
    <w:p w:rsidR="00605E29" w:rsidRPr="00112D41" w:rsidRDefault="00605E29" w:rsidP="00605E29">
      <w:pPr>
        <w:jc w:val="both"/>
        <w:rPr>
          <w:b/>
          <w:color w:val="FF0000"/>
        </w:rPr>
      </w:pPr>
    </w:p>
    <w:p w:rsidR="00605E29" w:rsidRPr="00D31905" w:rsidRDefault="00605E29" w:rsidP="00605E29">
      <w:pPr>
        <w:jc w:val="both"/>
      </w:pPr>
      <w:r w:rsidRPr="00D31905">
        <w:rPr>
          <w:b/>
        </w:rPr>
        <w:t xml:space="preserve">Madde 4 - </w:t>
      </w:r>
      <w:r w:rsidRPr="00D31905">
        <w:t>İhale aşağıda belirtildiği şekilde gerçekleşecektir.</w:t>
      </w:r>
    </w:p>
    <w:p w:rsidR="00605E29" w:rsidRPr="00112D41" w:rsidRDefault="00605E29" w:rsidP="00605E29">
      <w:pPr>
        <w:jc w:val="both"/>
        <w:rPr>
          <w:b/>
          <w:color w:val="FF0000"/>
        </w:rPr>
      </w:pPr>
    </w:p>
    <w:p w:rsidR="00605E29" w:rsidRPr="00820F2E" w:rsidRDefault="00605E29" w:rsidP="00605E29">
      <w:pPr>
        <w:numPr>
          <w:ilvl w:val="0"/>
          <w:numId w:val="1"/>
        </w:numPr>
        <w:tabs>
          <w:tab w:val="left" w:pos="709"/>
          <w:tab w:val="num" w:pos="780"/>
          <w:tab w:val="left" w:leader="dot" w:pos="9072"/>
        </w:tabs>
        <w:ind w:left="709"/>
        <w:jc w:val="both"/>
      </w:pPr>
      <w:r w:rsidRPr="00D31905">
        <w:t>Şartnamenin üçüncü maddesinde belirtilen koşullara haiz olmak kaydı ile ihaleye iştirak etmek isteyen bankalar, yazılı tekliflerini kapalı zarf içinde elden ya da posta yolu ile en geç</w:t>
      </w:r>
      <w:r>
        <w:rPr>
          <w:color w:val="FF0000"/>
        </w:rPr>
        <w:t xml:space="preserve"> </w:t>
      </w:r>
      <w:r w:rsidRPr="00A6490E">
        <w:t>19/03/2025</w:t>
      </w:r>
      <w:r>
        <w:t xml:space="preserve"> </w:t>
      </w:r>
      <w:r w:rsidRPr="00820F2E">
        <w:t>tarihi saat</w:t>
      </w:r>
      <w:r w:rsidRPr="00112D41">
        <w:rPr>
          <w:color w:val="FF0000"/>
        </w:rPr>
        <w:t xml:space="preserve"> </w:t>
      </w:r>
      <w:r w:rsidRPr="00820F2E">
        <w:t>09:30’a kadar idareye teslim edecektir.</w:t>
      </w:r>
    </w:p>
    <w:p w:rsidR="00605E29" w:rsidRPr="00112D41" w:rsidRDefault="00605E29" w:rsidP="00605E29">
      <w:pPr>
        <w:tabs>
          <w:tab w:val="left" w:pos="709"/>
          <w:tab w:val="left" w:leader="dot" w:pos="9072"/>
        </w:tabs>
        <w:ind w:left="709"/>
        <w:jc w:val="both"/>
        <w:rPr>
          <w:color w:val="FF0000"/>
        </w:rPr>
      </w:pPr>
    </w:p>
    <w:p w:rsidR="00605E29" w:rsidRDefault="00605E29" w:rsidP="00605E29">
      <w:pPr>
        <w:pStyle w:val="3-NormalYaz"/>
        <w:numPr>
          <w:ilvl w:val="0"/>
          <w:numId w:val="1"/>
        </w:numPr>
        <w:tabs>
          <w:tab w:val="clear" w:pos="566"/>
          <w:tab w:val="left" w:pos="709"/>
          <w:tab w:val="num" w:pos="780"/>
          <w:tab w:val="left" w:leader="dot" w:pos="9072"/>
        </w:tabs>
        <w:ind w:left="709"/>
        <w:rPr>
          <w:sz w:val="24"/>
          <w:szCs w:val="24"/>
        </w:rPr>
      </w:pPr>
      <w:r w:rsidRPr="00D31905">
        <w:rPr>
          <w:sz w:val="24"/>
          <w:szCs w:val="24"/>
        </w:rPr>
        <w:t>Zarfın üzerin</w:t>
      </w:r>
      <w:r>
        <w:rPr>
          <w:sz w:val="24"/>
          <w:szCs w:val="24"/>
        </w:rPr>
        <w:t xml:space="preserve">de teklifi veren bankanın adı, tebligata esas açık adresi, </w:t>
      </w:r>
      <w:r w:rsidRPr="00D31905">
        <w:rPr>
          <w:sz w:val="24"/>
          <w:szCs w:val="24"/>
        </w:rPr>
        <w:t>ihaleyi yapan kurumun açık adresi, teklifin hangi işe ait olduğu ve zarfın yapıştırılan yerinin istekli ta</w:t>
      </w:r>
      <w:r>
        <w:rPr>
          <w:sz w:val="24"/>
          <w:szCs w:val="24"/>
        </w:rPr>
        <w:t xml:space="preserve">rafından imzalanıp mühürlenmesi </w:t>
      </w:r>
      <w:r w:rsidRPr="00D31905">
        <w:rPr>
          <w:sz w:val="24"/>
          <w:szCs w:val="24"/>
        </w:rPr>
        <w:t xml:space="preserve">veya kaşelenmesi hususlarına bakılır. </w:t>
      </w:r>
    </w:p>
    <w:p w:rsidR="00605E29" w:rsidRDefault="00605E29" w:rsidP="00605E29">
      <w:pPr>
        <w:pStyle w:val="3-NormalYaz"/>
        <w:tabs>
          <w:tab w:val="clear" w:pos="566"/>
          <w:tab w:val="left" w:pos="709"/>
          <w:tab w:val="left" w:leader="dot" w:pos="9072"/>
        </w:tabs>
        <w:rPr>
          <w:sz w:val="24"/>
          <w:szCs w:val="24"/>
        </w:rPr>
      </w:pPr>
    </w:p>
    <w:p w:rsidR="00605E29" w:rsidRPr="00D31905" w:rsidRDefault="00605E29" w:rsidP="00605E29">
      <w:pPr>
        <w:pStyle w:val="3-NormalYaz"/>
        <w:numPr>
          <w:ilvl w:val="0"/>
          <w:numId w:val="1"/>
        </w:numPr>
        <w:tabs>
          <w:tab w:val="clear" w:pos="566"/>
          <w:tab w:val="left" w:pos="709"/>
          <w:tab w:val="num" w:pos="780"/>
          <w:tab w:val="left" w:leader="dot" w:pos="9072"/>
        </w:tabs>
        <w:ind w:left="709"/>
        <w:rPr>
          <w:sz w:val="24"/>
          <w:szCs w:val="24"/>
        </w:rPr>
      </w:pPr>
      <w:r w:rsidRPr="001A3C1D">
        <w:rPr>
          <w:sz w:val="24"/>
          <w:szCs w:val="24"/>
        </w:rPr>
        <w:t xml:space="preserve">Banka promosyon ihalesinde ilk kapalı zarf içinde sunulan teklifler personel başına asgari </w:t>
      </w:r>
      <w:r>
        <w:rPr>
          <w:sz w:val="24"/>
          <w:szCs w:val="24"/>
        </w:rPr>
        <w:t>7</w:t>
      </w:r>
      <w:r w:rsidRPr="009B1552">
        <w:rPr>
          <w:sz w:val="24"/>
          <w:szCs w:val="24"/>
        </w:rPr>
        <w:t>5.000,00 TL</w:t>
      </w:r>
      <w:r w:rsidRPr="001A3C1D">
        <w:rPr>
          <w:sz w:val="24"/>
          <w:szCs w:val="24"/>
        </w:rPr>
        <w:t xml:space="preserve"> (</w:t>
      </w:r>
      <w:r>
        <w:rPr>
          <w:sz w:val="24"/>
          <w:szCs w:val="24"/>
        </w:rPr>
        <w:t>yetmiş beş bin T</w:t>
      </w:r>
      <w:r w:rsidRPr="001A3C1D">
        <w:rPr>
          <w:sz w:val="24"/>
          <w:szCs w:val="24"/>
        </w:rPr>
        <w:t>ürk Lirası) den az olmamak şartıyla, personel başına rakam ve yazı ile Türk Lirası olarak teklif edilecek</w:t>
      </w:r>
      <w:r>
        <w:rPr>
          <w:sz w:val="24"/>
          <w:szCs w:val="24"/>
        </w:rPr>
        <w:t xml:space="preserve"> olup, açık artırmada verilen teklifler 250 TL ve katları şeklinde artarak gerçekleşecektir.</w:t>
      </w:r>
    </w:p>
    <w:p w:rsidR="00605E29" w:rsidRPr="00112D41" w:rsidRDefault="00605E29" w:rsidP="00605E29">
      <w:pPr>
        <w:pStyle w:val="ListeParagraf"/>
        <w:rPr>
          <w:color w:val="FF0000"/>
        </w:rPr>
      </w:pPr>
    </w:p>
    <w:p w:rsidR="00605E29" w:rsidRPr="00D31905" w:rsidRDefault="00605E29" w:rsidP="00605E29">
      <w:pPr>
        <w:numPr>
          <w:ilvl w:val="0"/>
          <w:numId w:val="1"/>
        </w:numPr>
        <w:tabs>
          <w:tab w:val="left" w:pos="709"/>
          <w:tab w:val="num" w:pos="780"/>
          <w:tab w:val="left" w:leader="dot" w:pos="9072"/>
        </w:tabs>
        <w:ind w:left="709"/>
        <w:jc w:val="both"/>
      </w:pPr>
      <w:r w:rsidRPr="00D31905">
        <w:t xml:space="preserve">İhale Komisyonu </w:t>
      </w:r>
      <w:r w:rsidRPr="00820F2E">
        <w:t xml:space="preserve">saat </w:t>
      </w:r>
      <w:r>
        <w:t>10:00’</w:t>
      </w:r>
      <w:r w:rsidRPr="00820F2E">
        <w:t>da</w:t>
      </w:r>
      <w:r w:rsidRPr="00D31905">
        <w:t xml:space="preserve"> toplanarak, tekliflerin değerlendirilmesine başlanacak ve bu saate kadar kaç teklif verilmiş olduğu tespit edilerek tutanak altına alınacaktır.</w:t>
      </w:r>
    </w:p>
    <w:p w:rsidR="00605E29" w:rsidRPr="00112D41" w:rsidRDefault="00605E29" w:rsidP="00605E29">
      <w:pPr>
        <w:tabs>
          <w:tab w:val="left" w:pos="709"/>
        </w:tabs>
        <w:jc w:val="both"/>
        <w:rPr>
          <w:color w:val="FF0000"/>
        </w:rPr>
      </w:pPr>
    </w:p>
    <w:p w:rsidR="00605E29" w:rsidRPr="007964BE" w:rsidRDefault="00605E29" w:rsidP="00605E29">
      <w:pPr>
        <w:numPr>
          <w:ilvl w:val="0"/>
          <w:numId w:val="1"/>
        </w:numPr>
        <w:tabs>
          <w:tab w:val="left" w:pos="709"/>
        </w:tabs>
        <w:ind w:left="709"/>
        <w:jc w:val="both"/>
      </w:pPr>
      <w:r w:rsidRPr="007964BE">
        <w:t>İhale komisyonunun değerlendirmesi sonucunda,</w:t>
      </w:r>
      <w:r>
        <w:t xml:space="preserve"> </w:t>
      </w:r>
      <w:r w:rsidRPr="007964BE">
        <w:t>alınan teklifler en yüksek tekliften başlamak üzere üstten alta doğru sıralanarak kayıt altına alınır.</w:t>
      </w:r>
    </w:p>
    <w:p w:rsidR="00605E29" w:rsidRPr="00112D41" w:rsidRDefault="00605E29" w:rsidP="00605E29">
      <w:pPr>
        <w:tabs>
          <w:tab w:val="left" w:pos="709"/>
        </w:tabs>
        <w:ind w:left="709"/>
        <w:jc w:val="both"/>
        <w:rPr>
          <w:color w:val="FF0000"/>
        </w:rPr>
      </w:pPr>
    </w:p>
    <w:p w:rsidR="00605E29" w:rsidRPr="007964BE" w:rsidRDefault="00605E29" w:rsidP="00605E29">
      <w:pPr>
        <w:numPr>
          <w:ilvl w:val="0"/>
          <w:numId w:val="1"/>
        </w:numPr>
        <w:tabs>
          <w:tab w:val="left" w:pos="709"/>
        </w:tabs>
        <w:ind w:left="709"/>
        <w:jc w:val="both"/>
      </w:pPr>
      <w:r w:rsidRPr="007964BE">
        <w:lastRenderedPageBreak/>
        <w:t>Komisyon teklifler arasından en yüksek teklif sahibi bankayı sözleşme yapmaya davet edeceği gibi ihaleyi iptal edebilir veya farklı bir ihale yöntemi belirleyebilir.</w:t>
      </w:r>
    </w:p>
    <w:p w:rsidR="00605E29" w:rsidRPr="00112D41" w:rsidRDefault="00605E29" w:rsidP="00605E29">
      <w:pPr>
        <w:pStyle w:val="ListeParagraf"/>
        <w:tabs>
          <w:tab w:val="left" w:pos="709"/>
        </w:tabs>
        <w:ind w:left="709"/>
        <w:rPr>
          <w:color w:val="FF0000"/>
        </w:rPr>
      </w:pPr>
    </w:p>
    <w:p w:rsidR="00605E29" w:rsidRPr="007964BE" w:rsidRDefault="00605E29" w:rsidP="00605E29">
      <w:pPr>
        <w:numPr>
          <w:ilvl w:val="0"/>
          <w:numId w:val="1"/>
        </w:numPr>
        <w:tabs>
          <w:tab w:val="left" w:pos="709"/>
          <w:tab w:val="num" w:pos="780"/>
        </w:tabs>
        <w:ind w:left="709"/>
        <w:jc w:val="both"/>
      </w:pPr>
      <w:r w:rsidRPr="007964BE">
        <w:t>İhale komisyonu tarafından uygun görülen teklif olması durumunda, komisyon kararı Rektörün onayına sunulacaktır.</w:t>
      </w:r>
      <w:r>
        <w:t xml:space="preserve"> Onaya müteakip 2 iş günü içerisinde </w:t>
      </w:r>
      <w:r w:rsidRPr="007964BE">
        <w:t>web sitesinde duyurulur ve ihaleye katılan bankalara yazılı olarak da bildirilir.</w:t>
      </w:r>
    </w:p>
    <w:p w:rsidR="00605E29" w:rsidRPr="007964BE" w:rsidRDefault="00605E29" w:rsidP="00605E29">
      <w:pPr>
        <w:tabs>
          <w:tab w:val="left" w:pos="709"/>
          <w:tab w:val="num" w:pos="780"/>
        </w:tabs>
        <w:ind w:left="709"/>
        <w:jc w:val="both"/>
      </w:pPr>
    </w:p>
    <w:p w:rsidR="00605E29" w:rsidRPr="00764E09" w:rsidRDefault="00605E29" w:rsidP="00605E29">
      <w:pPr>
        <w:tabs>
          <w:tab w:val="left" w:pos="426"/>
        </w:tabs>
        <w:ind w:left="426"/>
        <w:jc w:val="both"/>
        <w:rPr>
          <w:color w:val="FF0000"/>
        </w:rPr>
      </w:pPr>
    </w:p>
    <w:p w:rsidR="00605E29" w:rsidRPr="007964BE" w:rsidRDefault="00605E29" w:rsidP="00605E29">
      <w:pPr>
        <w:jc w:val="both"/>
        <w:rPr>
          <w:b/>
        </w:rPr>
      </w:pPr>
      <w:r w:rsidRPr="007964BE">
        <w:rPr>
          <w:b/>
        </w:rPr>
        <w:t>Sözleşme imzalanması ve uygulamaya dair hükümler</w:t>
      </w:r>
    </w:p>
    <w:p w:rsidR="00605E29" w:rsidRPr="00112D41" w:rsidRDefault="00605E29" w:rsidP="00605E29">
      <w:pPr>
        <w:jc w:val="both"/>
        <w:rPr>
          <w:b/>
          <w:color w:val="FF0000"/>
        </w:rPr>
      </w:pPr>
    </w:p>
    <w:p w:rsidR="00605E29" w:rsidRPr="007964BE" w:rsidRDefault="00605E29" w:rsidP="00605E29">
      <w:pPr>
        <w:pStyle w:val="Default"/>
        <w:jc w:val="both"/>
        <w:rPr>
          <w:color w:val="auto"/>
        </w:rPr>
      </w:pPr>
      <w:r w:rsidRPr="007964BE">
        <w:rPr>
          <w:b/>
          <w:bCs/>
          <w:color w:val="auto"/>
        </w:rPr>
        <w:t>Madde 5</w:t>
      </w:r>
      <w:r w:rsidRPr="007964BE">
        <w:rPr>
          <w:color w:val="auto"/>
        </w:rPr>
        <w:t xml:space="preserve">- Komisyon tarafından alınan ihale kararı karar tarihinden itibaren en geç 10 iş günü içinde onaylanır veya iptal edilir. Onaylanan veya iptal edilen karar ilgililere tebliğ edilir. </w:t>
      </w:r>
    </w:p>
    <w:p w:rsidR="00605E29" w:rsidRPr="00112D41" w:rsidRDefault="00605E29" w:rsidP="00605E29">
      <w:pPr>
        <w:pStyle w:val="Default"/>
        <w:jc w:val="both"/>
        <w:rPr>
          <w:color w:val="FF0000"/>
        </w:rPr>
      </w:pPr>
    </w:p>
    <w:p w:rsidR="00605E29" w:rsidRPr="007964BE" w:rsidRDefault="00605E29" w:rsidP="00605E29">
      <w:pPr>
        <w:pStyle w:val="Default"/>
        <w:jc w:val="both"/>
        <w:rPr>
          <w:color w:val="auto"/>
        </w:rPr>
      </w:pPr>
      <w:r w:rsidRPr="007964BE">
        <w:rPr>
          <w:b/>
          <w:color w:val="auto"/>
        </w:rPr>
        <w:t>Madde 6-</w:t>
      </w:r>
      <w:r w:rsidRPr="007964BE">
        <w:rPr>
          <w:color w:val="auto"/>
        </w:rPr>
        <w:t xml:space="preserve"> İhale üzerinde bırakılan ve sözleşmeye davet edilen banka, tebliğ tarihinden itibaren 10 iş günü içinde sözleşmeyi imzalamak zorundadır. Sözleşmeye davet edilen ancak süresi içinde sözleşme imzalamayan banka, ihalede teklif ettiği </w:t>
      </w:r>
      <w:r>
        <w:rPr>
          <w:color w:val="auto"/>
        </w:rPr>
        <w:t>bedelin % 10’</w:t>
      </w:r>
      <w:r w:rsidRPr="007964BE">
        <w:rPr>
          <w:color w:val="auto"/>
        </w:rPr>
        <w:t>unu kuruma cezai şart olarak ödemeyi kabul eder.</w:t>
      </w:r>
    </w:p>
    <w:p w:rsidR="00605E29" w:rsidRPr="00112D41" w:rsidRDefault="00605E29" w:rsidP="00605E29">
      <w:pPr>
        <w:pStyle w:val="Default"/>
        <w:jc w:val="both"/>
        <w:rPr>
          <w:color w:val="FF0000"/>
        </w:rPr>
      </w:pPr>
    </w:p>
    <w:p w:rsidR="00605E29" w:rsidRPr="007964BE" w:rsidRDefault="00605E29" w:rsidP="00605E29">
      <w:pPr>
        <w:jc w:val="both"/>
      </w:pPr>
      <w:r w:rsidRPr="007964BE">
        <w:rPr>
          <w:b/>
        </w:rPr>
        <w:t xml:space="preserve">Madde 7- </w:t>
      </w:r>
      <w:r w:rsidRPr="007964BE">
        <w:t xml:space="preserve">Sözleşme imzalandıktan sonra, bankanın ödemeleri gerçekleştireceği banka şubesinde kurum adına vadesiz mevduat hesabı açılacak ve personele yapılacak ödeme işlemleri bu hesap üzerinden gerçekleştirilecektir.  </w:t>
      </w:r>
    </w:p>
    <w:p w:rsidR="00605E29" w:rsidRPr="00112D41" w:rsidRDefault="00605E29" w:rsidP="00605E29">
      <w:pPr>
        <w:jc w:val="both"/>
        <w:rPr>
          <w:color w:val="FF0000"/>
        </w:rPr>
      </w:pPr>
    </w:p>
    <w:p w:rsidR="00605E29" w:rsidRPr="007964BE" w:rsidRDefault="00605E29" w:rsidP="00605E29">
      <w:pPr>
        <w:jc w:val="both"/>
      </w:pPr>
      <w:r w:rsidRPr="007964BE">
        <w:rPr>
          <w:b/>
        </w:rPr>
        <w:t>Madde 8-</w:t>
      </w:r>
      <w:r w:rsidRPr="007964BE">
        <w:t xml:space="preserve"> Bankada kurum adına hesap açma kapama ve kurum adına açılan tüm hesapları yönetme yetkisi Rektör adına </w:t>
      </w:r>
      <w:r>
        <w:t xml:space="preserve">Muhasebe </w:t>
      </w:r>
      <w:r w:rsidRPr="007964BE">
        <w:t xml:space="preserve">Yetkilisine aittir. Banka Muhasebe Yetkilisinin talimatları haricinde kurum adına hesap açamaz, kapatamaz hesap ya da hesaplarda hiçbir işlem yapamaz, yaptığı takdirde sorumluluk bankaya ait olacaktır. </w:t>
      </w:r>
      <w:r>
        <w:t>(Muhasebe yetkilisi gerek görmek görmesi halinde harcama birimi bazında yetki devri yapabilir.)</w:t>
      </w:r>
    </w:p>
    <w:p w:rsidR="00605E29" w:rsidRPr="00112D41" w:rsidRDefault="00605E29" w:rsidP="00605E29">
      <w:pPr>
        <w:ind w:firstLine="708"/>
        <w:jc w:val="both"/>
        <w:rPr>
          <w:b/>
          <w:color w:val="FF0000"/>
        </w:rPr>
      </w:pPr>
    </w:p>
    <w:p w:rsidR="00605E29" w:rsidRPr="007964BE" w:rsidRDefault="00605E29" w:rsidP="00605E29">
      <w:pPr>
        <w:jc w:val="both"/>
      </w:pPr>
      <w:r w:rsidRPr="007964BE">
        <w:rPr>
          <w:b/>
        </w:rPr>
        <w:t>Madde 9-</w:t>
      </w:r>
      <w:r w:rsidRPr="007964BE">
        <w:t xml:space="preserve"> Banka kurum vadesiz mevduat hesabından personele ait mevduat hesaplarına aktaracağı ödemelere ilişkin bilgi ve dokümanları istenildiği zaman ibraz edebilecek şekilde kayıt altında tutacaktır. </w:t>
      </w:r>
    </w:p>
    <w:p w:rsidR="00605E29" w:rsidRPr="00112D41" w:rsidRDefault="00605E29" w:rsidP="00605E29">
      <w:pPr>
        <w:pStyle w:val="Default"/>
        <w:jc w:val="both"/>
        <w:rPr>
          <w:color w:val="FF0000"/>
        </w:rPr>
      </w:pPr>
    </w:p>
    <w:p w:rsidR="00605E29" w:rsidRPr="008B7043" w:rsidRDefault="00605E29" w:rsidP="00605E29">
      <w:pPr>
        <w:tabs>
          <w:tab w:val="left" w:pos="567"/>
        </w:tabs>
        <w:jc w:val="both"/>
      </w:pPr>
      <w:r w:rsidRPr="008B7043">
        <w:rPr>
          <w:b/>
        </w:rPr>
        <w:t>Madde 10 -</w:t>
      </w:r>
      <w:r w:rsidRPr="008B7043">
        <w:t xml:space="preserve"> Sözleşme imzalanan banka, promosyon tutarının tamamını her bir personel adına açılacak hesaba her personel için tek ve eşit tutarda olmak üzere, Kurumca banka aracılığıyla</w:t>
      </w:r>
      <w:r>
        <w:t xml:space="preserve"> ödenecek ilk maaştan itibaren 5</w:t>
      </w:r>
      <w:r w:rsidRPr="008B7043">
        <w:t xml:space="preserve"> iş günü içinde hesaplara aktaracaktır. Banka Personele ödenen promosyon tutarlarına ait listeleri en geç 2 (iki) iş günü içinde yazılı olarak Rektörlüğe bildirecektir.</w:t>
      </w:r>
    </w:p>
    <w:p w:rsidR="00605E29" w:rsidRPr="00112D41" w:rsidRDefault="00605E29" w:rsidP="00605E29">
      <w:pPr>
        <w:tabs>
          <w:tab w:val="left" w:pos="567"/>
        </w:tabs>
        <w:jc w:val="both"/>
        <w:rPr>
          <w:color w:val="FF0000"/>
        </w:rPr>
      </w:pPr>
    </w:p>
    <w:p w:rsidR="00605E29" w:rsidRPr="007964BE" w:rsidRDefault="00605E29" w:rsidP="00605E29">
      <w:pPr>
        <w:jc w:val="both"/>
      </w:pPr>
      <w:r w:rsidRPr="007964BE">
        <w:rPr>
          <w:b/>
        </w:rPr>
        <w:t>Madde 11-</w:t>
      </w:r>
      <w:r w:rsidRPr="007964BE">
        <w:t xml:space="preserve"> Banka, sözleşme tarihinden sonra, Üniversitemize ataması yapılacak personeller ile askerlik görevi ya da herhangi bir nedenle ücretsiz izinde bulunan personellerin sözleşme süresi içinde göreve başlaması durumunda, göreve başlama tarihi ve sözleşme bitim tarihi arasındaki süre, sözleşme tam süresi ve kişi başına ödenen tutar baz alınmak suretiyle hesaplanacak tutarda promosyon bedeli sisteme dahil olunan ay başında peşin olarak tek seferde ödenecektir.</w:t>
      </w:r>
    </w:p>
    <w:p w:rsidR="00605E29" w:rsidRPr="00112D41" w:rsidRDefault="00605E29" w:rsidP="00605E29">
      <w:pPr>
        <w:jc w:val="both"/>
        <w:rPr>
          <w:color w:val="FF0000"/>
        </w:rPr>
      </w:pPr>
    </w:p>
    <w:p w:rsidR="00605E29" w:rsidRPr="00112D41" w:rsidRDefault="00605E29" w:rsidP="00605E29">
      <w:pPr>
        <w:jc w:val="both"/>
        <w:rPr>
          <w:color w:val="FF0000"/>
        </w:rPr>
      </w:pPr>
      <w:r w:rsidRPr="00C74A53">
        <w:rPr>
          <w:b/>
        </w:rPr>
        <w:t>Madde 12-</w:t>
      </w:r>
      <w:r w:rsidRPr="00C74A53">
        <w:t xml:space="preserve"> Sözleşmenin yürürlüğe girmesinden sonra; askerlik, ücretsiz izin, ölüm, emeklilik, müstafi sayılma, kurumlar arası atama vb. nedenlerle kurumdan ayrılan personelden Banka tarafından ödenen promosyonların iadesi istenilmeyecektir</w:t>
      </w:r>
      <w:r w:rsidRPr="00112D41">
        <w:rPr>
          <w:color w:val="FF0000"/>
        </w:rPr>
        <w:t>.</w:t>
      </w:r>
    </w:p>
    <w:p w:rsidR="00605E29" w:rsidRPr="00112D41" w:rsidRDefault="00605E29" w:rsidP="00605E29">
      <w:pPr>
        <w:jc w:val="both"/>
        <w:rPr>
          <w:color w:val="FF0000"/>
        </w:rPr>
      </w:pPr>
    </w:p>
    <w:p w:rsidR="00605E29" w:rsidRPr="00316556" w:rsidRDefault="00605E29" w:rsidP="00605E29">
      <w:pPr>
        <w:pStyle w:val="BodyText21"/>
        <w:spacing w:after="0"/>
        <w:ind w:firstLine="0"/>
        <w:rPr>
          <w:sz w:val="24"/>
          <w:szCs w:val="24"/>
        </w:rPr>
      </w:pPr>
      <w:r w:rsidRPr="00316556">
        <w:rPr>
          <w:b/>
          <w:sz w:val="24"/>
          <w:szCs w:val="24"/>
        </w:rPr>
        <w:t>Madde 13-</w:t>
      </w:r>
      <w:r w:rsidRPr="00316556">
        <w:rPr>
          <w:sz w:val="24"/>
          <w:szCs w:val="24"/>
        </w:rPr>
        <w:t xml:space="preserve">  Kurum, tanımda belirtilen tüm maaş ve diğer ödemeler için ödeme öncesi aşağıdaki bilgilerin yer aldığı ıslak</w:t>
      </w:r>
      <w:r>
        <w:rPr>
          <w:sz w:val="24"/>
          <w:szCs w:val="24"/>
        </w:rPr>
        <w:t>/elektronik</w:t>
      </w:r>
      <w:r w:rsidRPr="00316556">
        <w:rPr>
          <w:sz w:val="24"/>
          <w:szCs w:val="24"/>
        </w:rPr>
        <w:t xml:space="preserve"> imzalı listeleri bankaya teslim edecektir.</w:t>
      </w:r>
    </w:p>
    <w:p w:rsidR="00605E29" w:rsidRPr="00316556" w:rsidRDefault="00605E29" w:rsidP="00605E29">
      <w:pPr>
        <w:pStyle w:val="BodyText21"/>
        <w:spacing w:after="0"/>
        <w:ind w:firstLine="0"/>
        <w:rPr>
          <w:sz w:val="24"/>
          <w:szCs w:val="24"/>
        </w:rPr>
      </w:pPr>
    </w:p>
    <w:p w:rsidR="00605E29" w:rsidRPr="00316556" w:rsidRDefault="00605E29" w:rsidP="00605E29">
      <w:pPr>
        <w:pStyle w:val="BodyText21"/>
        <w:numPr>
          <w:ilvl w:val="0"/>
          <w:numId w:val="3"/>
        </w:numPr>
        <w:spacing w:after="0"/>
        <w:rPr>
          <w:sz w:val="24"/>
          <w:szCs w:val="24"/>
        </w:rPr>
      </w:pPr>
      <w:r w:rsidRPr="00316556">
        <w:rPr>
          <w:sz w:val="24"/>
          <w:szCs w:val="24"/>
        </w:rPr>
        <w:t>Banka Adı</w:t>
      </w:r>
    </w:p>
    <w:p w:rsidR="00605E29" w:rsidRPr="00316556" w:rsidRDefault="00605E29" w:rsidP="00605E29">
      <w:pPr>
        <w:pStyle w:val="BodyText21"/>
        <w:numPr>
          <w:ilvl w:val="0"/>
          <w:numId w:val="3"/>
        </w:numPr>
        <w:spacing w:after="0"/>
        <w:rPr>
          <w:sz w:val="24"/>
          <w:szCs w:val="24"/>
        </w:rPr>
      </w:pPr>
      <w:r w:rsidRPr="00316556">
        <w:rPr>
          <w:sz w:val="24"/>
          <w:szCs w:val="24"/>
        </w:rPr>
        <w:t>Aylık, ücret vb ödemenin ait olduğu ay</w:t>
      </w:r>
    </w:p>
    <w:p w:rsidR="00605E29" w:rsidRPr="00316556" w:rsidRDefault="00605E29" w:rsidP="00605E29">
      <w:pPr>
        <w:pStyle w:val="BodyText21"/>
        <w:numPr>
          <w:ilvl w:val="0"/>
          <w:numId w:val="3"/>
        </w:numPr>
        <w:spacing w:after="0"/>
        <w:rPr>
          <w:sz w:val="24"/>
          <w:szCs w:val="24"/>
        </w:rPr>
      </w:pPr>
      <w:r w:rsidRPr="00316556">
        <w:rPr>
          <w:sz w:val="24"/>
          <w:szCs w:val="24"/>
        </w:rPr>
        <w:t>Personelin adı-soyadı, TC kimlik numarası</w:t>
      </w:r>
    </w:p>
    <w:p w:rsidR="00605E29" w:rsidRPr="00316556" w:rsidRDefault="00605E29" w:rsidP="00605E29">
      <w:pPr>
        <w:pStyle w:val="BodyText21"/>
        <w:numPr>
          <w:ilvl w:val="0"/>
          <w:numId w:val="3"/>
        </w:numPr>
        <w:spacing w:after="0"/>
        <w:rPr>
          <w:sz w:val="24"/>
          <w:szCs w:val="24"/>
        </w:rPr>
      </w:pPr>
      <w:r w:rsidRPr="00316556">
        <w:rPr>
          <w:sz w:val="24"/>
          <w:szCs w:val="24"/>
        </w:rPr>
        <w:t>Personelin IBAN/hesap numaraları ve her bir personel adına ödenecek tutar</w:t>
      </w:r>
    </w:p>
    <w:p w:rsidR="00605E29" w:rsidRPr="00316556" w:rsidRDefault="00605E29" w:rsidP="00605E29">
      <w:pPr>
        <w:pStyle w:val="BodyText21"/>
        <w:numPr>
          <w:ilvl w:val="0"/>
          <w:numId w:val="3"/>
        </w:numPr>
        <w:spacing w:after="0"/>
        <w:rPr>
          <w:sz w:val="24"/>
          <w:szCs w:val="24"/>
        </w:rPr>
      </w:pPr>
      <w:r w:rsidRPr="00316556">
        <w:rPr>
          <w:sz w:val="24"/>
          <w:szCs w:val="24"/>
        </w:rPr>
        <w:t>Personel sayısı</w:t>
      </w:r>
    </w:p>
    <w:p w:rsidR="00605E29" w:rsidRPr="00316556" w:rsidRDefault="00605E29" w:rsidP="00605E29">
      <w:pPr>
        <w:pStyle w:val="BodyText21"/>
        <w:numPr>
          <w:ilvl w:val="0"/>
          <w:numId w:val="3"/>
        </w:numPr>
        <w:spacing w:after="0"/>
        <w:rPr>
          <w:sz w:val="24"/>
          <w:szCs w:val="24"/>
        </w:rPr>
      </w:pPr>
      <w:r w:rsidRPr="00316556">
        <w:rPr>
          <w:sz w:val="24"/>
          <w:szCs w:val="24"/>
        </w:rPr>
        <w:t>Toplam tutar</w:t>
      </w:r>
    </w:p>
    <w:p w:rsidR="00605E29" w:rsidRPr="00316556" w:rsidRDefault="00605E29" w:rsidP="00605E29">
      <w:pPr>
        <w:pStyle w:val="BodyText21"/>
        <w:numPr>
          <w:ilvl w:val="0"/>
          <w:numId w:val="3"/>
        </w:numPr>
        <w:spacing w:after="0"/>
        <w:rPr>
          <w:sz w:val="24"/>
          <w:szCs w:val="24"/>
        </w:rPr>
      </w:pPr>
      <w:r w:rsidRPr="00316556">
        <w:rPr>
          <w:sz w:val="24"/>
          <w:szCs w:val="24"/>
        </w:rPr>
        <w:t>Gerçekleştirme görevlisi adı soyadı, imza, mühür</w:t>
      </w:r>
    </w:p>
    <w:p w:rsidR="00605E29" w:rsidRPr="00316556" w:rsidRDefault="00605E29" w:rsidP="00605E29">
      <w:pPr>
        <w:pStyle w:val="BodyText21"/>
        <w:numPr>
          <w:ilvl w:val="0"/>
          <w:numId w:val="3"/>
        </w:numPr>
        <w:spacing w:after="0"/>
        <w:rPr>
          <w:sz w:val="24"/>
          <w:szCs w:val="24"/>
        </w:rPr>
      </w:pPr>
      <w:r w:rsidRPr="00316556">
        <w:rPr>
          <w:sz w:val="24"/>
          <w:szCs w:val="24"/>
        </w:rPr>
        <w:t>Harcama yetkilisi adı soyadı, imza, mühür</w:t>
      </w:r>
    </w:p>
    <w:p w:rsidR="00605E29" w:rsidRPr="00316556" w:rsidRDefault="00605E29" w:rsidP="00605E29">
      <w:pPr>
        <w:pStyle w:val="BodyText21"/>
        <w:spacing w:after="0"/>
        <w:ind w:left="720" w:firstLine="0"/>
        <w:rPr>
          <w:sz w:val="24"/>
          <w:szCs w:val="24"/>
        </w:rPr>
      </w:pPr>
    </w:p>
    <w:p w:rsidR="00605E29" w:rsidRPr="00316556" w:rsidRDefault="00605E29" w:rsidP="00605E29">
      <w:pPr>
        <w:pStyle w:val="Liste"/>
        <w:tabs>
          <w:tab w:val="left" w:pos="0"/>
          <w:tab w:val="left" w:pos="1134"/>
        </w:tabs>
        <w:ind w:left="0" w:firstLine="0"/>
        <w:jc w:val="both"/>
      </w:pPr>
      <w:r>
        <w:t>Y</w:t>
      </w:r>
      <w:r w:rsidRPr="00316556">
        <w:t>etkilendirilmiş kişilerce elektronik ortamda gönderilen listeler</w:t>
      </w:r>
      <w:r>
        <w:t xml:space="preserve"> ile imzalı listeler</w:t>
      </w:r>
      <w:r w:rsidRPr="00316556">
        <w:t xml:space="preserve"> karşılaştırılarak uygunluğu sağlandıktan sonra ilgililerin hesabına aktarma yapılacak; aksi takdirde ödeme yapılmayacaktır. Bankaca listeler arasında rakamsal ya da kişisel farklılıklar tespit edilmesi durumunda kurum yetkilileri ile derhal iletişime geçilecek ve mutabakat sağlandıktan sonra aktarma gerçekleştirilecektir. Aksi takdirde sorumluluk bankaya ait olacaktır. Ayrıca sözleşme süresince güvenliğin sağlanması yönünde kurum tarafından belirlenecek her türlü yöntem ve tedbir de banka tarafından uygulamaya konulacaktır.</w:t>
      </w:r>
    </w:p>
    <w:p w:rsidR="00605E29" w:rsidRPr="00112D41" w:rsidRDefault="00605E29" w:rsidP="00605E29">
      <w:pPr>
        <w:pStyle w:val="BodyText21"/>
        <w:spacing w:after="0"/>
        <w:ind w:left="720" w:firstLine="0"/>
        <w:rPr>
          <w:color w:val="FF0000"/>
          <w:sz w:val="24"/>
          <w:szCs w:val="24"/>
        </w:rPr>
      </w:pPr>
    </w:p>
    <w:p w:rsidR="00605E29" w:rsidRPr="00C74A53" w:rsidRDefault="00605E29" w:rsidP="00605E29">
      <w:pPr>
        <w:tabs>
          <w:tab w:val="left" w:pos="567"/>
        </w:tabs>
        <w:jc w:val="both"/>
      </w:pPr>
      <w:r w:rsidRPr="00C74A53">
        <w:rPr>
          <w:b/>
        </w:rPr>
        <w:t>Madde 14</w:t>
      </w:r>
      <w:r w:rsidRPr="00C74A53">
        <w:t>-</w:t>
      </w:r>
      <w:r w:rsidRPr="00C74A53">
        <w:rPr>
          <w:noProof/>
        </w:rPr>
        <w:t xml:space="preserve"> Kurum tarafından, personelin tamamına ait aylık ve ücretler, ek ders, döner sermaye payı vb., ödeme tarihinden 2 iş günü önce banka şubesi nezdinde açılacak olan vadesiz mevduat hesabına aktarılacaktır. Banka tarafından bu ödemeler, memur olarak görevli personel için aylık hesaplarına her ayın 15 inin başladığı gece saat 00.01’de, işçi olarak görevli personel için ise aylık hesaplarına her ayın 14 ünün başladığı gece saat 00.01’de aktarılarak hesap sahibi personelin kullanımına hazır hale getirilecektir. </w:t>
      </w:r>
      <w:r>
        <w:t xml:space="preserve">(TCMB tarafından yürütülen Tek Hazine Kurumlar Hesabının işleyişinden kaynaklanan her türlü gecikmeden ve teknik aksaklıktan Kurumun herhangi bir sorumluluğu bulunmamaktadır.) </w:t>
      </w:r>
    </w:p>
    <w:p w:rsidR="00605E29" w:rsidRPr="00C74A53" w:rsidRDefault="00605E29" w:rsidP="00605E29">
      <w:pPr>
        <w:jc w:val="both"/>
        <w:rPr>
          <w:noProof/>
        </w:rPr>
      </w:pPr>
    </w:p>
    <w:p w:rsidR="00605E29" w:rsidRPr="00C74A53" w:rsidRDefault="00605E29" w:rsidP="00605E29">
      <w:pPr>
        <w:jc w:val="both"/>
        <w:rPr>
          <w:noProof/>
        </w:rPr>
      </w:pPr>
      <w:r w:rsidRPr="00C74A53">
        <w:rPr>
          <w:noProof/>
        </w:rPr>
        <w:t>Maaş ve ek ders dışındaki sosyal yardımlar, harcırah vb.  ödemeler ise banka listesinin bankaya ulaştırıldığı ve ödeme tutarının banka hesabına geçtiği gün hesap sahibi personelin kullanımına hazır hale getirilecektir.</w:t>
      </w:r>
    </w:p>
    <w:p w:rsidR="00605E29" w:rsidRPr="00112D41" w:rsidRDefault="00605E29" w:rsidP="00605E29">
      <w:pPr>
        <w:tabs>
          <w:tab w:val="left" w:pos="567"/>
        </w:tabs>
        <w:jc w:val="both"/>
        <w:rPr>
          <w:b/>
          <w:color w:val="FF0000"/>
        </w:rPr>
      </w:pPr>
    </w:p>
    <w:p w:rsidR="00605E29" w:rsidRPr="00C74A53" w:rsidRDefault="00605E29" w:rsidP="00605E29">
      <w:pPr>
        <w:tabs>
          <w:tab w:val="left" w:pos="567"/>
        </w:tabs>
        <w:jc w:val="both"/>
      </w:pPr>
      <w:r w:rsidRPr="00C74A53">
        <w:rPr>
          <w:b/>
        </w:rPr>
        <w:t>Madde 15-</w:t>
      </w:r>
      <w:r w:rsidRPr="00C74A53">
        <w:t xml:space="preserve"> Kurum tarafından mücbir sebeplerle personele ait maaş ve ücret ödeme listelerinin banka şubelerine belirlenen tarih ve saatlerden daha geç ulaşması durumunda, banka aylık ve ücretlerin on altıncı maddede belirlenen yasal sürelere uygun olarak hesaplara geçirilmesi sağlanacaktır.</w:t>
      </w:r>
      <w:r>
        <w:t xml:space="preserve"> </w:t>
      </w:r>
    </w:p>
    <w:p w:rsidR="00605E29" w:rsidRPr="00112D41" w:rsidRDefault="00605E29" w:rsidP="00605E29">
      <w:pPr>
        <w:tabs>
          <w:tab w:val="left" w:pos="567"/>
        </w:tabs>
        <w:jc w:val="both"/>
        <w:rPr>
          <w:color w:val="FF0000"/>
        </w:rPr>
      </w:pPr>
    </w:p>
    <w:p w:rsidR="00605E29" w:rsidRPr="00C74A53" w:rsidRDefault="00605E29" w:rsidP="00605E29">
      <w:pPr>
        <w:tabs>
          <w:tab w:val="left" w:pos="567"/>
        </w:tabs>
        <w:jc w:val="both"/>
      </w:pPr>
      <w:r w:rsidRPr="00C74A53">
        <w:rPr>
          <w:b/>
        </w:rPr>
        <w:t>Madde 16-</w:t>
      </w:r>
      <w:r w:rsidRPr="00C74A53">
        <w:t xml:space="preserve"> Bayram ve çeşitli nedenlerle Devletin erken ödeme kararı aldığı maaş ve ücret ikramiye vb ödemelerde, yapılacak ödeme tutarları Kurumca bankadaki hesaba aktarılmasını izleyen günde, banka tarafından hesap sahibi personelin kullanımına hazır hale getirilecektir.</w:t>
      </w:r>
    </w:p>
    <w:p w:rsidR="00605E29" w:rsidRPr="00112D41" w:rsidRDefault="00605E29" w:rsidP="00605E29">
      <w:pPr>
        <w:tabs>
          <w:tab w:val="left" w:pos="567"/>
        </w:tabs>
        <w:jc w:val="both"/>
        <w:rPr>
          <w:color w:val="FF0000"/>
        </w:rPr>
      </w:pPr>
    </w:p>
    <w:p w:rsidR="00605E29" w:rsidRPr="00C74A53" w:rsidRDefault="00605E29" w:rsidP="00605E29">
      <w:pPr>
        <w:jc w:val="both"/>
      </w:pPr>
      <w:r w:rsidRPr="00C74A53">
        <w:rPr>
          <w:b/>
        </w:rPr>
        <w:t xml:space="preserve">Madde 17- </w:t>
      </w:r>
      <w:r w:rsidRPr="00C74A53">
        <w:t xml:space="preserve">Sözleşme imzalanan Banka tarafından Üniversite personeline aşağıda yer alan avantajlar sağlanacaktır. </w:t>
      </w:r>
    </w:p>
    <w:p w:rsidR="00605E29" w:rsidRPr="00112D41" w:rsidRDefault="00605E29" w:rsidP="00605E29">
      <w:pPr>
        <w:jc w:val="both"/>
        <w:rPr>
          <w:color w:val="FF0000"/>
        </w:rPr>
      </w:pPr>
    </w:p>
    <w:p w:rsidR="00605E29" w:rsidRPr="0007680D" w:rsidRDefault="00605E29" w:rsidP="00605E29">
      <w:pPr>
        <w:numPr>
          <w:ilvl w:val="0"/>
          <w:numId w:val="2"/>
        </w:numPr>
        <w:tabs>
          <w:tab w:val="clear" w:pos="720"/>
          <w:tab w:val="num" w:pos="284"/>
        </w:tabs>
        <w:ind w:left="709" w:hanging="283"/>
        <w:jc w:val="both"/>
      </w:pPr>
      <w:r w:rsidRPr="0007680D">
        <w:t xml:space="preserve">Kurum personelinin hesaplarının bulunduğu şube ile sınırlı olmaksızın 7/24 internet ve telefon bankacılığı veya ATM dahil herhangi bir kanal aracılığıyla gerçekleştirilen havale, EFT ve diğer tüm bankacılık işlemlerinden, fatura (elektrik, su, doğalgaz, internet, kira, sabit ve cep telefonu vb.) ödemeleri ile İTÜ kartlarına yapılacak ücret yüklemelerinde kullanılacak olan bankaya ait debit kartlarda (Akademik, idari personeller ve öğrencilerin İTÜ kartlarına TL yüklemelerinde işlem ücreti ve masraf alınmayacaktır.) ayrıca personelin bankadaki hesaplarından sözleşme süresince aylık </w:t>
      </w:r>
      <w:r w:rsidRPr="0007680D">
        <w:lastRenderedPageBreak/>
        <w:t xml:space="preserve">veya yıllık hesap işletim ücreti, işlem masrafı, kart aidatı üyelik ücreti vb. herhangi bir ücret veya her ne ad altında olursa olsun başka bir masraf ve/veya ücret vb talep edilmeyecektir. </w:t>
      </w:r>
    </w:p>
    <w:p w:rsidR="00605E29" w:rsidRPr="00112D41" w:rsidRDefault="00605E29" w:rsidP="00605E29">
      <w:pPr>
        <w:ind w:left="709" w:hanging="283"/>
        <w:jc w:val="both"/>
        <w:rPr>
          <w:color w:val="FF0000"/>
        </w:rPr>
      </w:pPr>
    </w:p>
    <w:p w:rsidR="00605E29" w:rsidRPr="00C74A53" w:rsidRDefault="00605E29" w:rsidP="00605E29">
      <w:pPr>
        <w:numPr>
          <w:ilvl w:val="0"/>
          <w:numId w:val="2"/>
        </w:numPr>
        <w:tabs>
          <w:tab w:val="clear" w:pos="720"/>
          <w:tab w:val="num" w:pos="284"/>
        </w:tabs>
        <w:ind w:left="709" w:hanging="283"/>
        <w:jc w:val="both"/>
      </w:pPr>
      <w:r w:rsidRPr="00C74A53">
        <w:t>Her personele talebi halinde kredi kartı ve bir adet ek kart verilecektir. Sözleşme süresince bu kartların verilmesi, yenilenmesi, değiştirilmesi, iptal edilmesi veya kullanılmasından dolayı İstanbul Teknik Üniversitesinden, personelinden ve ek-kart hamilinden yıllık kart ücreti talep edilmeyecektir. Bu kartlardan herhangi bir ücret alınmayacaktır.</w:t>
      </w:r>
    </w:p>
    <w:p w:rsidR="00605E29" w:rsidRDefault="00605E29" w:rsidP="00605E29">
      <w:pPr>
        <w:ind w:left="709" w:hanging="283"/>
        <w:jc w:val="both"/>
        <w:rPr>
          <w:color w:val="FF0000"/>
        </w:rPr>
      </w:pPr>
    </w:p>
    <w:p w:rsidR="00605E29" w:rsidRDefault="00605E29" w:rsidP="00605E29">
      <w:pPr>
        <w:numPr>
          <w:ilvl w:val="0"/>
          <w:numId w:val="2"/>
        </w:numPr>
        <w:tabs>
          <w:tab w:val="clear" w:pos="720"/>
          <w:tab w:val="num" w:pos="644"/>
        </w:tabs>
        <w:ind w:left="644"/>
        <w:jc w:val="both"/>
      </w:pPr>
      <w:r>
        <w:t>Personelin talebi halinde birer adet Euro, Dolar ve Altın hesabı açılacaktır. Bu hesaplardan sözleşme süresince aylık ve yıllık hesap işletim ücreti, işlem masrafı (Banka şubesinden, maaş müşterisine yapılan para yatırma ve para çekme işlemleri dahil) alınmayacaktır. Ancak Euro, Dolar ve Altın hesaplarından yapılacak yurtiçi ve yurtdışı havale ve EFT işlemleri bu protokol kapsamında değildir.</w:t>
      </w:r>
    </w:p>
    <w:p w:rsidR="00605E29" w:rsidRPr="00112D41" w:rsidRDefault="00605E29" w:rsidP="00605E29">
      <w:pPr>
        <w:ind w:left="709" w:hanging="283"/>
        <w:jc w:val="both"/>
        <w:rPr>
          <w:color w:val="FF0000"/>
        </w:rPr>
      </w:pPr>
    </w:p>
    <w:p w:rsidR="00605E29" w:rsidRPr="00CD3125" w:rsidRDefault="00605E29" w:rsidP="00605E29">
      <w:pPr>
        <w:numPr>
          <w:ilvl w:val="0"/>
          <w:numId w:val="2"/>
        </w:numPr>
        <w:tabs>
          <w:tab w:val="clear" w:pos="720"/>
          <w:tab w:val="num" w:pos="284"/>
        </w:tabs>
        <w:ind w:left="709" w:hanging="283"/>
        <w:jc w:val="both"/>
      </w:pPr>
      <w:bookmarkStart w:id="1" w:name="_Hlk190422044"/>
      <w:r w:rsidRPr="00CD3125">
        <w:t>Banka, Kurum personelinin bireysel her türlü kredi taleplerini en uygun koşullarda karşılayacak ve faiz indirim avantajı sağlayacaktır.</w:t>
      </w:r>
    </w:p>
    <w:bookmarkEnd w:id="1"/>
    <w:p w:rsidR="00605E29" w:rsidRPr="00112D41" w:rsidRDefault="00605E29" w:rsidP="00605E29">
      <w:pPr>
        <w:ind w:left="709" w:hanging="283"/>
        <w:jc w:val="both"/>
        <w:rPr>
          <w:color w:val="FF0000"/>
        </w:rPr>
      </w:pPr>
    </w:p>
    <w:p w:rsidR="00605E29" w:rsidRPr="0087690E" w:rsidRDefault="00605E29" w:rsidP="00605E29">
      <w:pPr>
        <w:numPr>
          <w:ilvl w:val="0"/>
          <w:numId w:val="2"/>
        </w:numPr>
        <w:tabs>
          <w:tab w:val="clear" w:pos="720"/>
          <w:tab w:val="num" w:pos="284"/>
        </w:tabs>
        <w:ind w:left="709" w:hanging="283"/>
        <w:jc w:val="both"/>
      </w:pPr>
      <w:r w:rsidRPr="00C74A53">
        <w:t>Posta ile giden çok fonksiyonlu mevduat hesabı ekstreleri için ücret alınmayacaktır.</w:t>
      </w:r>
      <w:r>
        <w:t xml:space="preserve"> </w:t>
      </w:r>
    </w:p>
    <w:p w:rsidR="00605E29" w:rsidRDefault="00605E29" w:rsidP="00605E29">
      <w:pPr>
        <w:pStyle w:val="ListeParagraf"/>
        <w:rPr>
          <w:rFonts w:eastAsia="Symbol"/>
        </w:rPr>
      </w:pPr>
    </w:p>
    <w:p w:rsidR="00605E29" w:rsidRPr="00C74A53" w:rsidRDefault="00605E29" w:rsidP="00605E29">
      <w:pPr>
        <w:numPr>
          <w:ilvl w:val="0"/>
          <w:numId w:val="2"/>
        </w:numPr>
        <w:tabs>
          <w:tab w:val="clear" w:pos="720"/>
          <w:tab w:val="num" w:pos="284"/>
        </w:tabs>
        <w:ind w:left="709" w:hanging="283"/>
        <w:jc w:val="both"/>
      </w:pPr>
      <w:r w:rsidRPr="00C74A53">
        <w:rPr>
          <w:rFonts w:eastAsia="Symbol"/>
        </w:rPr>
        <w:t xml:space="preserve">Banka tarafından kaynaklanan ödeme yanlışlıkları internet bankacılığı ve bankanın sisteminde oluşacak hatalardan banka sorumlu olacaktır. Bu nedenle </w:t>
      </w:r>
      <w:r w:rsidRPr="00C74A53">
        <w:t>kişinin adı, TC kimlik numarası ve IBAN veya hesap numarası uyumunun kontrol edilmesine yönelik</w:t>
      </w:r>
      <w:r w:rsidRPr="00C74A53">
        <w:rPr>
          <w:rFonts w:eastAsia="Symbol"/>
        </w:rPr>
        <w:t xml:space="preserve"> mekanizmaların geliştirilmiş olması gerekmektedir.</w:t>
      </w:r>
    </w:p>
    <w:p w:rsidR="00605E29" w:rsidRPr="00112D41" w:rsidRDefault="00605E29" w:rsidP="00605E29">
      <w:pPr>
        <w:pStyle w:val="ListeParagraf"/>
        <w:ind w:left="709" w:hanging="283"/>
        <w:rPr>
          <w:color w:val="FF0000"/>
        </w:rPr>
      </w:pPr>
    </w:p>
    <w:p w:rsidR="00605E29" w:rsidRPr="00C74A53" w:rsidRDefault="00605E29" w:rsidP="00605E29">
      <w:pPr>
        <w:numPr>
          <w:ilvl w:val="0"/>
          <w:numId w:val="2"/>
        </w:numPr>
        <w:tabs>
          <w:tab w:val="clear" w:pos="720"/>
          <w:tab w:val="num" w:pos="284"/>
        </w:tabs>
        <w:ind w:left="709" w:hanging="283"/>
        <w:jc w:val="both"/>
      </w:pPr>
      <w:r w:rsidRPr="00C74A53">
        <w:t xml:space="preserve">Borç hatırlatmaları ve benzeri bilgilendirmeler karşılığında ücret talep edilmeyecektir. </w:t>
      </w:r>
    </w:p>
    <w:p w:rsidR="00605E29" w:rsidRPr="00112D41" w:rsidRDefault="00605E29" w:rsidP="00605E29">
      <w:pPr>
        <w:ind w:left="709" w:hanging="283"/>
        <w:jc w:val="both"/>
        <w:rPr>
          <w:color w:val="FF0000"/>
        </w:rPr>
      </w:pPr>
    </w:p>
    <w:p w:rsidR="00605E29" w:rsidRDefault="00605E29" w:rsidP="00605E29">
      <w:pPr>
        <w:numPr>
          <w:ilvl w:val="0"/>
          <w:numId w:val="2"/>
        </w:numPr>
        <w:tabs>
          <w:tab w:val="clear" w:pos="720"/>
          <w:tab w:val="num" w:pos="284"/>
        </w:tabs>
        <w:ind w:left="709" w:hanging="283"/>
        <w:jc w:val="both"/>
      </w:pPr>
      <w:r w:rsidRPr="00C74A53">
        <w:t xml:space="preserve">Personel adına açılacak hesaplara artı bakiye, ek hesap, kredili mevduat hesabı gibi adlarla tanımlanacak hesapların açılışında, hesap sahibinin yazılı talimatının bulunması zorunlu olacaktır. </w:t>
      </w:r>
    </w:p>
    <w:p w:rsidR="00605E29" w:rsidRDefault="00605E29" w:rsidP="00605E29">
      <w:pPr>
        <w:pStyle w:val="ListeParagraf"/>
      </w:pPr>
    </w:p>
    <w:p w:rsidR="00605E29" w:rsidRPr="00112D41" w:rsidRDefault="00605E29" w:rsidP="00605E29">
      <w:pPr>
        <w:ind w:left="360"/>
        <w:jc w:val="both"/>
        <w:rPr>
          <w:color w:val="FF0000"/>
        </w:rPr>
      </w:pPr>
    </w:p>
    <w:p w:rsidR="00605E29" w:rsidRPr="008B7043" w:rsidRDefault="00605E29" w:rsidP="00605E29">
      <w:pPr>
        <w:jc w:val="both"/>
      </w:pPr>
      <w:r w:rsidRPr="008B7043">
        <w:rPr>
          <w:b/>
        </w:rPr>
        <w:t>Madde 18-</w:t>
      </w:r>
      <w:r w:rsidRPr="008B7043">
        <w:t xml:space="preserve"> İhale üzerinde bırakılan banka Kurumun talebi üzerine bankacılık hizmetlerini yürütmek amacıyla Maslak Yerleşkesinde bir şube (2886 sayılı Kanuna göre kiralama yapılarak) açacaktır. </w:t>
      </w:r>
    </w:p>
    <w:p w:rsidR="00605E29" w:rsidRPr="00112D41" w:rsidRDefault="00605E29" w:rsidP="00605E29">
      <w:pPr>
        <w:jc w:val="both"/>
        <w:rPr>
          <w:rFonts w:eastAsia="Symbol"/>
          <w:color w:val="FF0000"/>
        </w:rPr>
      </w:pPr>
    </w:p>
    <w:p w:rsidR="00605E29" w:rsidRPr="000322BC" w:rsidRDefault="00605E29" w:rsidP="00605E29">
      <w:pPr>
        <w:jc w:val="both"/>
        <w:rPr>
          <w:rFonts w:eastAsia="Symbol"/>
        </w:rPr>
      </w:pPr>
      <w:r w:rsidRPr="000322BC">
        <w:rPr>
          <w:rFonts w:eastAsia="Symbol"/>
          <w:b/>
        </w:rPr>
        <w:t xml:space="preserve">Madde 19- </w:t>
      </w:r>
      <w:r w:rsidRPr="000322BC">
        <w:rPr>
          <w:rFonts w:eastAsia="Symbol"/>
        </w:rPr>
        <w:t>Bankamatik (ATM) cihazları ile ilgili hükümler</w:t>
      </w:r>
    </w:p>
    <w:p w:rsidR="00605E29" w:rsidRPr="00112D41" w:rsidRDefault="00605E29" w:rsidP="00605E29">
      <w:pPr>
        <w:jc w:val="both"/>
        <w:rPr>
          <w:rFonts w:eastAsia="Symbol"/>
          <w:color w:val="FF0000"/>
        </w:rPr>
      </w:pPr>
    </w:p>
    <w:p w:rsidR="00605E29" w:rsidRPr="00D95F39" w:rsidRDefault="00605E29" w:rsidP="00605E29">
      <w:pPr>
        <w:numPr>
          <w:ilvl w:val="0"/>
          <w:numId w:val="4"/>
        </w:numPr>
        <w:tabs>
          <w:tab w:val="left" w:pos="709"/>
        </w:tabs>
        <w:ind w:left="709" w:hanging="425"/>
        <w:jc w:val="both"/>
      </w:pPr>
      <w:r w:rsidRPr="00D95F39">
        <w:t xml:space="preserve">İhale üzerine bırakılan banka, sözleşme imzalanmasından itibaren 1 ay içerisinde Ayazağa Yerleşkesinde </w:t>
      </w:r>
      <w:r>
        <w:t>3</w:t>
      </w:r>
      <w:r w:rsidRPr="00D95F39">
        <w:t xml:space="preserve">, Taşkışla Yerleşkesinde 1, Gümüşsuyu Yerleşkesinde 1, Maçka Yerleşkesinde 1 ve Tuzla Yerleşkesinde 1 adet olmak üzere Üniversite Rektörlüğünce belirlenecek yerlerde toplam </w:t>
      </w:r>
      <w:r>
        <w:t>7</w:t>
      </w:r>
      <w:r w:rsidRPr="00D95F39">
        <w:t xml:space="preserve"> adet bankamatik cihazını kullanıma hazır hale getirecektir.  </w:t>
      </w:r>
    </w:p>
    <w:p w:rsidR="00605E29" w:rsidRPr="00112D41" w:rsidRDefault="00605E29" w:rsidP="00605E29">
      <w:pPr>
        <w:ind w:left="284" w:firstLine="567"/>
        <w:jc w:val="both"/>
        <w:rPr>
          <w:color w:val="FF0000"/>
        </w:rPr>
      </w:pPr>
    </w:p>
    <w:p w:rsidR="00605E29" w:rsidRPr="00C74A53" w:rsidRDefault="00605E29" w:rsidP="00605E29">
      <w:pPr>
        <w:numPr>
          <w:ilvl w:val="0"/>
          <w:numId w:val="4"/>
        </w:numPr>
        <w:tabs>
          <w:tab w:val="num" w:pos="709"/>
        </w:tabs>
        <w:ind w:left="709" w:hanging="430"/>
        <w:jc w:val="both"/>
      </w:pPr>
      <w:r w:rsidRPr="00C74A53">
        <w:t xml:space="preserve">18 Haziran 2016 tarih 29746 sayılı Resmi Gazetede, Bankacılık Düzenleme ve Denetleme Kurumu tarafından yayınlanan Bankacılık Hizmetlerinin Erişilebilirliğine Dair Yönetmelik kapsamında anlaşma yapılacak banka; Üniversitemiz Engelli personelleri için yönetmelikteki tüm hususları kapsayacak şekilde bankamatik </w:t>
      </w:r>
      <w:r w:rsidRPr="00C74A53">
        <w:lastRenderedPageBreak/>
        <w:t xml:space="preserve">bulundurulması gerekmekte olup aksi durumda yönetmelikteki aksaklıklardan banka sorumlu olacaktır. </w:t>
      </w:r>
    </w:p>
    <w:p w:rsidR="00605E29" w:rsidRPr="00112D41" w:rsidRDefault="00605E29" w:rsidP="00605E29">
      <w:pPr>
        <w:tabs>
          <w:tab w:val="left" w:pos="709"/>
        </w:tabs>
        <w:jc w:val="both"/>
        <w:rPr>
          <w:color w:val="FF0000"/>
        </w:rPr>
      </w:pPr>
    </w:p>
    <w:p w:rsidR="00605E29" w:rsidRPr="00C74A53" w:rsidRDefault="00605E29" w:rsidP="00605E29">
      <w:pPr>
        <w:numPr>
          <w:ilvl w:val="0"/>
          <w:numId w:val="4"/>
        </w:numPr>
        <w:tabs>
          <w:tab w:val="left" w:pos="709"/>
        </w:tabs>
        <w:ind w:left="709"/>
        <w:jc w:val="both"/>
      </w:pPr>
      <w:r w:rsidRPr="00C74A53">
        <w:t xml:space="preserve">Banka Üniversite personeline yerleşke içerisinde kurulacak ATM’lerini herhangi bir masraf, komisyon vb. talep etmeden kullandıracak, maaş ve diğer ödemelerde haftanın her günü ve saatinde ATM’lerde para bulundurmakla yükümlü olacaktır. Maaş miktarına bakılmaksızın ATM’den günlük para çekme limiti en az </w:t>
      </w:r>
      <w:r>
        <w:t>15</w:t>
      </w:r>
      <w:r w:rsidRPr="00C74A53">
        <w:t xml:space="preserve">.000- TL olacaktır. </w:t>
      </w:r>
    </w:p>
    <w:p w:rsidR="00605E29" w:rsidRPr="00112D41" w:rsidRDefault="00605E29" w:rsidP="00605E29">
      <w:pPr>
        <w:tabs>
          <w:tab w:val="left" w:pos="709"/>
        </w:tabs>
        <w:ind w:left="709"/>
        <w:jc w:val="both"/>
        <w:rPr>
          <w:color w:val="FF0000"/>
        </w:rPr>
      </w:pPr>
    </w:p>
    <w:p w:rsidR="00605E29" w:rsidRPr="00C74A53" w:rsidRDefault="00605E29" w:rsidP="00605E29">
      <w:pPr>
        <w:numPr>
          <w:ilvl w:val="0"/>
          <w:numId w:val="4"/>
        </w:numPr>
        <w:tabs>
          <w:tab w:val="left" w:pos="709"/>
        </w:tabs>
        <w:ind w:left="709"/>
        <w:jc w:val="both"/>
      </w:pPr>
      <w:r w:rsidRPr="00C74A53">
        <w:t xml:space="preserve">Bankamatiğin kurulabileceği alanlar için gerekli olabilecek tadilat, montaj ve cihazların kurulmasına ilişkin her türlü harcama banka tarafından yapılacaktır. </w:t>
      </w:r>
    </w:p>
    <w:p w:rsidR="00605E29" w:rsidRPr="00112D41" w:rsidRDefault="00605E29" w:rsidP="00605E29">
      <w:pPr>
        <w:tabs>
          <w:tab w:val="left" w:pos="709"/>
        </w:tabs>
        <w:ind w:left="709"/>
        <w:jc w:val="both"/>
        <w:rPr>
          <w:color w:val="FF0000"/>
        </w:rPr>
      </w:pPr>
    </w:p>
    <w:p w:rsidR="00605E29" w:rsidRPr="00C74A53" w:rsidRDefault="00605E29" w:rsidP="00605E29">
      <w:pPr>
        <w:numPr>
          <w:ilvl w:val="0"/>
          <w:numId w:val="4"/>
        </w:numPr>
        <w:tabs>
          <w:tab w:val="left" w:pos="709"/>
        </w:tabs>
        <w:ind w:left="709"/>
        <w:jc w:val="both"/>
      </w:pPr>
      <w:r w:rsidRPr="00C74A53">
        <w:t xml:space="preserve">Bankamatiğin data hattı banka tarafından temin edilecek ve bununla ilgili tesis ve işletme giderlerini banka ödeyecektir. </w:t>
      </w:r>
    </w:p>
    <w:p w:rsidR="00605E29" w:rsidRPr="00112D41" w:rsidRDefault="00605E29" w:rsidP="00605E29">
      <w:pPr>
        <w:tabs>
          <w:tab w:val="left" w:pos="709"/>
        </w:tabs>
        <w:ind w:left="709"/>
        <w:jc w:val="both"/>
        <w:rPr>
          <w:color w:val="FF0000"/>
        </w:rPr>
      </w:pPr>
    </w:p>
    <w:p w:rsidR="00605E29" w:rsidRPr="00C74A53" w:rsidRDefault="00605E29" w:rsidP="00605E29">
      <w:pPr>
        <w:numPr>
          <w:ilvl w:val="0"/>
          <w:numId w:val="4"/>
        </w:numPr>
        <w:tabs>
          <w:tab w:val="left" w:pos="709"/>
        </w:tabs>
        <w:ind w:left="709"/>
        <w:jc w:val="both"/>
      </w:pPr>
      <w:r w:rsidRPr="00C74A53">
        <w:t xml:space="preserve">Bankamatik için gerekli elektrik enerjisi kurum tarafından sağlanacak ve kurumun göstereceği elektrik kablosundan alınacaktır. Üniteyle ilgili elektrik ve kablo tesisatı banka tarafından yapılacaktır. Bankamatiğin sarf edeceği elektrik bedelleri banka tarafından karşılanacaktır. </w:t>
      </w:r>
    </w:p>
    <w:p w:rsidR="00605E29" w:rsidRPr="00112D41" w:rsidRDefault="00605E29" w:rsidP="00605E29">
      <w:pPr>
        <w:tabs>
          <w:tab w:val="left" w:pos="709"/>
        </w:tabs>
        <w:ind w:left="709"/>
        <w:jc w:val="both"/>
        <w:rPr>
          <w:color w:val="FF0000"/>
        </w:rPr>
      </w:pPr>
    </w:p>
    <w:p w:rsidR="00605E29" w:rsidRPr="00C74A53" w:rsidRDefault="00605E29" w:rsidP="00605E29">
      <w:pPr>
        <w:numPr>
          <w:ilvl w:val="0"/>
          <w:numId w:val="4"/>
        </w:numPr>
        <w:tabs>
          <w:tab w:val="left" w:pos="709"/>
        </w:tabs>
        <w:ind w:left="709"/>
        <w:jc w:val="both"/>
      </w:pPr>
      <w:r w:rsidRPr="00C74A53">
        <w:t xml:space="preserve">Kurulacak olan bankamatik için her türlü bakım onarım desteği ile bakım onarım masrafları banka tarafından karşılanacaktır. </w:t>
      </w:r>
    </w:p>
    <w:p w:rsidR="00605E29" w:rsidRPr="00112D41" w:rsidRDefault="00605E29" w:rsidP="00605E29">
      <w:pPr>
        <w:tabs>
          <w:tab w:val="left" w:pos="709"/>
        </w:tabs>
        <w:ind w:left="709"/>
        <w:jc w:val="both"/>
        <w:rPr>
          <w:color w:val="FF0000"/>
        </w:rPr>
      </w:pPr>
    </w:p>
    <w:p w:rsidR="00605E29" w:rsidRPr="00C74A53" w:rsidRDefault="00605E29" w:rsidP="00605E29">
      <w:pPr>
        <w:numPr>
          <w:ilvl w:val="0"/>
          <w:numId w:val="4"/>
        </w:numPr>
        <w:tabs>
          <w:tab w:val="left" w:pos="709"/>
        </w:tabs>
        <w:ind w:left="709"/>
        <w:jc w:val="both"/>
      </w:pPr>
      <w:r w:rsidRPr="00C74A53">
        <w:t xml:space="preserve">Kurum, önceden bilgi verilmesi şartıyla bankamatiğin yerleştirilmesi ve hizmeti süresince verilecek her türlü destek hizmetleri için banka elemanlarının kampüse girişine ve içerde çalışmasına izin verecektir. </w:t>
      </w:r>
    </w:p>
    <w:p w:rsidR="00605E29" w:rsidRPr="00112D41" w:rsidRDefault="00605E29" w:rsidP="00605E29">
      <w:pPr>
        <w:tabs>
          <w:tab w:val="left" w:pos="709"/>
        </w:tabs>
        <w:ind w:left="709"/>
        <w:jc w:val="both"/>
        <w:rPr>
          <w:color w:val="FF0000"/>
        </w:rPr>
      </w:pPr>
    </w:p>
    <w:p w:rsidR="00605E29" w:rsidRPr="00583B93" w:rsidRDefault="00605E29" w:rsidP="00605E29">
      <w:pPr>
        <w:numPr>
          <w:ilvl w:val="0"/>
          <w:numId w:val="4"/>
        </w:numPr>
        <w:tabs>
          <w:tab w:val="left" w:pos="709"/>
        </w:tabs>
        <w:ind w:left="709"/>
        <w:jc w:val="both"/>
      </w:pPr>
      <w:r w:rsidRPr="00583B93">
        <w:t xml:space="preserve">İhale üzerinde bırakılan banka, bankamatik cihazlarında oluşacak arıza ve para bitiminde durumun bankaya bildirilmesi ile hizmetin devamını sağlamak adına derhal mevcut duruma müdahale edip o gün için farklı banka ATM’lerinden herhangi bir kesinti yapılmaksızın para çekimi konusunda azami özen gösterecek ve haftanın her günü ve saatinde bankamatiklerde yeterli miktarda para bulunduracaktır.  </w:t>
      </w:r>
    </w:p>
    <w:p w:rsidR="00605E29" w:rsidRPr="00112D41" w:rsidRDefault="00605E29" w:rsidP="00605E29">
      <w:pPr>
        <w:tabs>
          <w:tab w:val="left" w:pos="709"/>
        </w:tabs>
        <w:ind w:left="709"/>
        <w:jc w:val="both"/>
        <w:rPr>
          <w:color w:val="FF0000"/>
        </w:rPr>
      </w:pPr>
    </w:p>
    <w:p w:rsidR="00605E29" w:rsidRPr="00C74A53" w:rsidRDefault="00605E29" w:rsidP="00605E29">
      <w:pPr>
        <w:numPr>
          <w:ilvl w:val="0"/>
          <w:numId w:val="4"/>
        </w:numPr>
        <w:tabs>
          <w:tab w:val="left" w:pos="709"/>
        </w:tabs>
        <w:ind w:left="709"/>
        <w:jc w:val="both"/>
      </w:pPr>
      <w:r w:rsidRPr="00C74A53">
        <w:t>Bankamatiklerin kurulacağı alan, 2886 sayılı Devlet İhale Kanunu çerçevesinde kiralanacaktır.</w:t>
      </w:r>
    </w:p>
    <w:p w:rsidR="00605E29" w:rsidRPr="00112D41" w:rsidRDefault="00605E29" w:rsidP="00605E29">
      <w:pPr>
        <w:pStyle w:val="3-NormalYaz"/>
        <w:tabs>
          <w:tab w:val="clear" w:pos="566"/>
          <w:tab w:val="left" w:pos="567"/>
          <w:tab w:val="left" w:leader="dot" w:pos="9356"/>
        </w:tabs>
        <w:rPr>
          <w:b/>
          <w:bCs/>
          <w:color w:val="FF0000"/>
          <w:sz w:val="24"/>
          <w:szCs w:val="24"/>
        </w:rPr>
      </w:pPr>
    </w:p>
    <w:p w:rsidR="00605E29" w:rsidRPr="00FC6941" w:rsidRDefault="00605E29" w:rsidP="00605E29">
      <w:pPr>
        <w:autoSpaceDE w:val="0"/>
        <w:autoSpaceDN w:val="0"/>
        <w:adjustRightInd w:val="0"/>
        <w:rPr>
          <w:rFonts w:eastAsia="Symbol"/>
        </w:rPr>
      </w:pPr>
      <w:r w:rsidRPr="00C74A53">
        <w:rPr>
          <w:rFonts w:eastAsia="Symbol"/>
          <w:b/>
        </w:rPr>
        <w:t xml:space="preserve">Madde 20- </w:t>
      </w:r>
      <w:bookmarkStart w:id="2" w:name="_Hlk190422123"/>
      <w:r w:rsidRPr="00C74A53">
        <w:rPr>
          <w:rFonts w:eastAsia="Symbol"/>
        </w:rPr>
        <w:t xml:space="preserve">İhale </w:t>
      </w:r>
      <w:bookmarkStart w:id="3" w:name="_Hlk190422140"/>
      <w:r w:rsidRPr="00C74A53">
        <w:rPr>
          <w:rFonts w:eastAsia="Symbol"/>
        </w:rPr>
        <w:t>üzerinde kalan banka, sözleşme süresince ve daha sonra elde ettiği personel bilgilerini bu şartname hükümleri dışında kullanamaz.</w:t>
      </w:r>
      <w:r>
        <w:rPr>
          <w:rFonts w:eastAsia="Symbol"/>
        </w:rPr>
        <w:t xml:space="preserve"> </w:t>
      </w:r>
      <w:r w:rsidRPr="00FC6941">
        <w:rPr>
          <w:rFonts w:eastAsia="Symbol"/>
        </w:rPr>
        <w:t xml:space="preserve">Banka, Kurum personel bilgilerini </w:t>
      </w:r>
      <w:r w:rsidRPr="00FC6941">
        <w:rPr>
          <w:rFonts w:eastAsia="Symbol" w:hint="cs"/>
        </w:rPr>
        <w:t>ş</w:t>
      </w:r>
      <w:r w:rsidRPr="00FC6941">
        <w:rPr>
          <w:rFonts w:eastAsia="Symbol"/>
        </w:rPr>
        <w:t>artname, protokol, TCK, KVKK, Bankac</w:t>
      </w:r>
      <w:r w:rsidRPr="00FC6941">
        <w:rPr>
          <w:rFonts w:eastAsia="Symbol" w:hint="cs"/>
        </w:rPr>
        <w:t>ı</w:t>
      </w:r>
      <w:r w:rsidRPr="00FC6941">
        <w:rPr>
          <w:rFonts w:eastAsia="Symbol"/>
        </w:rPr>
        <w:t>l</w:t>
      </w:r>
      <w:r w:rsidRPr="00FC6941">
        <w:rPr>
          <w:rFonts w:eastAsia="Symbol" w:hint="cs"/>
        </w:rPr>
        <w:t>ı</w:t>
      </w:r>
      <w:r w:rsidRPr="00FC6941">
        <w:rPr>
          <w:rFonts w:eastAsia="Symbol"/>
        </w:rPr>
        <w:t>k Kanunu ve ilgili mevzuat h</w:t>
      </w:r>
      <w:r w:rsidRPr="00FC6941">
        <w:rPr>
          <w:rFonts w:eastAsia="Symbol" w:hint="cs"/>
        </w:rPr>
        <w:t>ü</w:t>
      </w:r>
      <w:r w:rsidRPr="00FC6941">
        <w:rPr>
          <w:rFonts w:eastAsia="Symbol"/>
        </w:rPr>
        <w:t>k</w:t>
      </w:r>
      <w:r w:rsidRPr="00FC6941">
        <w:rPr>
          <w:rFonts w:eastAsia="Symbol" w:hint="cs"/>
        </w:rPr>
        <w:t>ü</w:t>
      </w:r>
      <w:r w:rsidRPr="00FC6941">
        <w:rPr>
          <w:rFonts w:eastAsia="Symbol"/>
        </w:rPr>
        <w:t>mlerine uyulmak suretiyle ba</w:t>
      </w:r>
      <w:r w:rsidRPr="00FC6941">
        <w:rPr>
          <w:rFonts w:eastAsia="Symbol" w:hint="cs"/>
        </w:rPr>
        <w:t>ş</w:t>
      </w:r>
      <w:r w:rsidRPr="00FC6941">
        <w:rPr>
          <w:rFonts w:eastAsia="Symbol"/>
        </w:rPr>
        <w:t>ka ama</w:t>
      </w:r>
      <w:r w:rsidRPr="00FC6941">
        <w:rPr>
          <w:rFonts w:eastAsia="Symbol" w:hint="cs"/>
        </w:rPr>
        <w:t>ç</w:t>
      </w:r>
      <w:r w:rsidRPr="00FC6941">
        <w:rPr>
          <w:rFonts w:eastAsia="Symbol"/>
        </w:rPr>
        <w:t>la kullanamaz ve bu bilgileri gizli tutmakla y</w:t>
      </w:r>
      <w:r w:rsidRPr="00FC6941">
        <w:rPr>
          <w:rFonts w:eastAsia="Symbol" w:hint="cs"/>
        </w:rPr>
        <w:t>ü</w:t>
      </w:r>
      <w:r w:rsidRPr="00FC6941">
        <w:rPr>
          <w:rFonts w:eastAsia="Symbol"/>
        </w:rPr>
        <w:t>k</w:t>
      </w:r>
      <w:r w:rsidRPr="00FC6941">
        <w:rPr>
          <w:rFonts w:eastAsia="Symbol" w:hint="cs"/>
        </w:rPr>
        <w:t>ü</w:t>
      </w:r>
      <w:r w:rsidRPr="00FC6941">
        <w:rPr>
          <w:rFonts w:eastAsia="Symbol"/>
        </w:rPr>
        <w:t>ml</w:t>
      </w:r>
      <w:r w:rsidRPr="00FC6941">
        <w:rPr>
          <w:rFonts w:eastAsia="Symbol" w:hint="cs"/>
        </w:rPr>
        <w:t>ü</w:t>
      </w:r>
      <w:r w:rsidRPr="00FC6941">
        <w:rPr>
          <w:rFonts w:eastAsia="Symbol"/>
        </w:rPr>
        <w:t>d</w:t>
      </w:r>
      <w:r w:rsidRPr="00FC6941">
        <w:rPr>
          <w:rFonts w:eastAsia="Symbol" w:hint="cs"/>
        </w:rPr>
        <w:t>ü</w:t>
      </w:r>
      <w:r w:rsidRPr="00FC6941">
        <w:rPr>
          <w:rFonts w:eastAsia="Symbol"/>
        </w:rPr>
        <w:t>r.</w:t>
      </w:r>
      <w:bookmarkEnd w:id="3"/>
    </w:p>
    <w:bookmarkEnd w:id="2"/>
    <w:p w:rsidR="00605E29" w:rsidRPr="001D6A1B" w:rsidRDefault="00605E29" w:rsidP="00605E29">
      <w:pPr>
        <w:autoSpaceDE w:val="0"/>
        <w:autoSpaceDN w:val="0"/>
        <w:adjustRightInd w:val="0"/>
        <w:jc w:val="both"/>
        <w:rPr>
          <w:rFonts w:eastAsia="Symbol"/>
        </w:rPr>
      </w:pPr>
    </w:p>
    <w:p w:rsidR="00605E29" w:rsidRPr="00A47BC1" w:rsidRDefault="00605E29" w:rsidP="00605E29">
      <w:pPr>
        <w:autoSpaceDE w:val="0"/>
        <w:autoSpaceDN w:val="0"/>
        <w:adjustRightInd w:val="0"/>
        <w:jc w:val="both"/>
        <w:rPr>
          <w:rFonts w:eastAsia="Verdana-Bold"/>
          <w:b/>
        </w:rPr>
      </w:pPr>
      <w:r w:rsidRPr="00A47BC1">
        <w:rPr>
          <w:rFonts w:eastAsia="Verdana-Bold"/>
          <w:b/>
        </w:rPr>
        <w:t xml:space="preserve">Madde 21- </w:t>
      </w:r>
      <w:r w:rsidRPr="00A47BC1">
        <w:rPr>
          <w:rFonts w:eastAsia="Verdana-Bold"/>
        </w:rPr>
        <w:t>Sözleşme yapıldıktan sonra bankanın taahhüdünden vazgeçmesi ya da taahhüdünü sözleşme ve şartname hükümlerine göre yerine getirmemesi üzerine idarenin 10 gün süreli ihtarına rağmen aynı durumun devam etmesi halinde ayrıca protesto çekmeye</w:t>
      </w:r>
      <w:r w:rsidRPr="00A47BC1">
        <w:rPr>
          <w:rFonts w:eastAsia="Verdana-Bold"/>
          <w:b/>
        </w:rPr>
        <w:t xml:space="preserve"> </w:t>
      </w:r>
      <w:r w:rsidRPr="00A47BC1">
        <w:rPr>
          <w:rFonts w:eastAsia="Verdana-Bold"/>
        </w:rPr>
        <w:t xml:space="preserve">ve hüküm almaya gerek kalmaksızın sözleşme feshedilir. Bu madde uyarınca sözleşmenin feshi halinde banka tarafından teklif edilen promosyon bedelinin %  10’u cezai şart olarak 1 ay içerisinde kuruma ödenir. </w:t>
      </w:r>
    </w:p>
    <w:p w:rsidR="00605E29" w:rsidRPr="00112D41" w:rsidRDefault="00605E29" w:rsidP="00605E29">
      <w:pPr>
        <w:autoSpaceDE w:val="0"/>
        <w:autoSpaceDN w:val="0"/>
        <w:adjustRightInd w:val="0"/>
        <w:jc w:val="both"/>
        <w:rPr>
          <w:rFonts w:eastAsia="Verdana-Bold"/>
          <w:b/>
          <w:color w:val="FF0000"/>
        </w:rPr>
      </w:pPr>
    </w:p>
    <w:p w:rsidR="00605E29" w:rsidRPr="00A47BC1" w:rsidRDefault="00605E29" w:rsidP="00605E29">
      <w:pPr>
        <w:autoSpaceDE w:val="0"/>
        <w:autoSpaceDN w:val="0"/>
        <w:adjustRightInd w:val="0"/>
        <w:jc w:val="both"/>
        <w:rPr>
          <w:rFonts w:eastAsia="Verdana-Bold"/>
        </w:rPr>
      </w:pPr>
      <w:r w:rsidRPr="00A47BC1">
        <w:rPr>
          <w:rFonts w:eastAsia="Verdana-Bold"/>
          <w:b/>
        </w:rPr>
        <w:t>Madde 22-</w:t>
      </w:r>
      <w:r w:rsidRPr="00A47BC1">
        <w:rPr>
          <w:rFonts w:eastAsia="Verdana-Bold"/>
        </w:rPr>
        <w:t xml:space="preserve"> İhale üzerinde bırakılan banka imzalanacak sözleşme koşullarını değiştiremez, tamamen veya kısmen bir başkasına devredemez. Devrettiği takdirde her türlü sorumluluğu Bankaya ait olmak üzere İstanbul Teknik Üniversitesi mahkemeden bir karar almaya, ihtar ve </w:t>
      </w:r>
      <w:r w:rsidRPr="00A47BC1">
        <w:rPr>
          <w:rFonts w:eastAsia="Verdana-Bold"/>
        </w:rPr>
        <w:lastRenderedPageBreak/>
        <w:t>protestoya gerek kalmaksızın 21 inci maddedeki cezai şart hükümleri uygulanarak sözleşmeyi sona erdirmeye yetkilidir.</w:t>
      </w:r>
    </w:p>
    <w:p w:rsidR="00605E29" w:rsidRPr="00112D41" w:rsidRDefault="00605E29" w:rsidP="00605E29">
      <w:pPr>
        <w:autoSpaceDE w:val="0"/>
        <w:autoSpaceDN w:val="0"/>
        <w:adjustRightInd w:val="0"/>
        <w:jc w:val="both"/>
        <w:rPr>
          <w:rFonts w:eastAsia="Verdana-Bold"/>
          <w:color w:val="FF0000"/>
        </w:rPr>
      </w:pPr>
    </w:p>
    <w:p w:rsidR="00605E29" w:rsidRPr="00943793" w:rsidRDefault="00605E29" w:rsidP="00605E29">
      <w:pPr>
        <w:tabs>
          <w:tab w:val="left" w:pos="567"/>
        </w:tabs>
        <w:jc w:val="both"/>
      </w:pPr>
      <w:r w:rsidRPr="00A47BC1">
        <w:rPr>
          <w:b/>
        </w:rPr>
        <w:t xml:space="preserve">Madde 23 </w:t>
      </w:r>
      <w:r w:rsidRPr="00943793">
        <w:rPr>
          <w:b/>
        </w:rPr>
        <w:t>-</w:t>
      </w:r>
      <w:r w:rsidRPr="00943793">
        <w:t xml:space="preserve"> Banka ile yapılacak sözleşme süresi, 20.05.202</w:t>
      </w:r>
      <w:r>
        <w:t>5</w:t>
      </w:r>
      <w:r w:rsidRPr="00943793">
        <w:t xml:space="preserve"> tarihinde başlayıp 20.05.20</w:t>
      </w:r>
      <w:r>
        <w:t>28</w:t>
      </w:r>
      <w:r w:rsidRPr="00943793">
        <w:t xml:space="preserve"> tarihinde sona erecek olup, toplam 3 (üç) yılı kapsayacaktır.</w:t>
      </w:r>
    </w:p>
    <w:p w:rsidR="00605E29" w:rsidRPr="00112D41" w:rsidRDefault="00605E29" w:rsidP="00605E29">
      <w:pPr>
        <w:autoSpaceDE w:val="0"/>
        <w:autoSpaceDN w:val="0"/>
        <w:adjustRightInd w:val="0"/>
        <w:jc w:val="both"/>
        <w:rPr>
          <w:rFonts w:eastAsia="Verdana-Bold"/>
          <w:color w:val="FF0000"/>
        </w:rPr>
      </w:pPr>
    </w:p>
    <w:p w:rsidR="00605E29" w:rsidRPr="00A47BC1" w:rsidRDefault="00605E29" w:rsidP="00605E29">
      <w:pPr>
        <w:autoSpaceDE w:val="0"/>
        <w:autoSpaceDN w:val="0"/>
        <w:adjustRightInd w:val="0"/>
        <w:jc w:val="both"/>
        <w:rPr>
          <w:rFonts w:eastAsia="Verdana-Bold"/>
        </w:rPr>
      </w:pPr>
      <w:r w:rsidRPr="00A47BC1">
        <w:rPr>
          <w:rFonts w:eastAsia="Verdana-Bold"/>
          <w:b/>
        </w:rPr>
        <w:t xml:space="preserve">Madde 24- </w:t>
      </w:r>
      <w:r w:rsidRPr="00A47BC1">
        <w:rPr>
          <w:rFonts w:eastAsia="Verdana-Bold"/>
        </w:rPr>
        <w:t xml:space="preserve">İhtilaflar İstanbul Mahkemeleri ve icra daireleri nezdinde çözümlenir. </w:t>
      </w:r>
    </w:p>
    <w:p w:rsidR="00605E29" w:rsidRPr="00112D41" w:rsidRDefault="00605E29" w:rsidP="00605E29">
      <w:pPr>
        <w:pStyle w:val="Default"/>
        <w:jc w:val="both"/>
        <w:rPr>
          <w:bCs/>
          <w:color w:val="FF0000"/>
        </w:rPr>
      </w:pPr>
    </w:p>
    <w:p w:rsidR="00605E29" w:rsidRPr="00112D41" w:rsidRDefault="00605E29" w:rsidP="00605E29">
      <w:pPr>
        <w:rPr>
          <w:color w:val="FF0000"/>
        </w:rPr>
      </w:pPr>
    </w:p>
    <w:p w:rsidR="00AF5855" w:rsidRDefault="00AF5855"/>
    <w:sectPr w:rsidR="00AF5855" w:rsidSect="00734AF9">
      <w:footerReference w:type="default" r:id="rId5"/>
      <w:pgSz w:w="11906" w:h="16838" w:code="9"/>
      <w:pgMar w:top="1418" w:right="1418" w:bottom="1418" w:left="1418" w:header="709" w:footer="709" w:gutter="0"/>
      <w:paperSrc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7A" w:rsidRDefault="00605E29">
    <w:pPr>
      <w:pStyle w:val="a"/>
      <w:jc w:val="center"/>
    </w:pPr>
    <w:r>
      <w:fldChar w:fldCharType="begin"/>
    </w:r>
    <w:r>
      <w:instrText xml:space="preserve"> PAGE   \* MERGEFORMAT </w:instrText>
    </w:r>
    <w:r>
      <w:fldChar w:fldCharType="separate"/>
    </w:r>
    <w:r>
      <w:rPr>
        <w:noProof/>
      </w:rPr>
      <w:t>1</w:t>
    </w:r>
    <w:r>
      <w:fldChar w:fldCharType="end"/>
    </w:r>
  </w:p>
  <w:p w:rsidR="00ED3F7A" w:rsidRDefault="00605E29">
    <w:pPr>
      <w:pStyle w:val="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D353A"/>
    <w:multiLevelType w:val="hybridMultilevel"/>
    <w:tmpl w:val="41B64A62"/>
    <w:lvl w:ilvl="0" w:tplc="BC14CCD2">
      <w:start w:val="1"/>
      <w:numFmt w:val="lowerLetter"/>
      <w:lvlText w:val="%1)"/>
      <w:lvlJc w:val="left"/>
      <w:pPr>
        <w:tabs>
          <w:tab w:val="num" w:pos="502"/>
        </w:tabs>
        <w:ind w:left="502" w:hanging="360"/>
      </w:pPr>
      <w:rPr>
        <w:rFonts w:hint="default"/>
      </w:rPr>
    </w:lvl>
    <w:lvl w:ilvl="1" w:tplc="041F0019" w:tentative="1">
      <w:start w:val="1"/>
      <w:numFmt w:val="lowerLetter"/>
      <w:lvlText w:val="%2."/>
      <w:lvlJc w:val="left"/>
      <w:pPr>
        <w:tabs>
          <w:tab w:val="num" w:pos="1860"/>
        </w:tabs>
        <w:ind w:left="1860" w:hanging="360"/>
      </w:pPr>
    </w:lvl>
    <w:lvl w:ilvl="2" w:tplc="041F001B" w:tentative="1">
      <w:start w:val="1"/>
      <w:numFmt w:val="lowerRoman"/>
      <w:lvlText w:val="%3."/>
      <w:lvlJc w:val="right"/>
      <w:pPr>
        <w:tabs>
          <w:tab w:val="num" w:pos="2580"/>
        </w:tabs>
        <w:ind w:left="2580" w:hanging="180"/>
      </w:pPr>
    </w:lvl>
    <w:lvl w:ilvl="3" w:tplc="041F000F" w:tentative="1">
      <w:start w:val="1"/>
      <w:numFmt w:val="decimal"/>
      <w:lvlText w:val="%4."/>
      <w:lvlJc w:val="left"/>
      <w:pPr>
        <w:tabs>
          <w:tab w:val="num" w:pos="3300"/>
        </w:tabs>
        <w:ind w:left="3300" w:hanging="360"/>
      </w:pPr>
    </w:lvl>
    <w:lvl w:ilvl="4" w:tplc="041F0019" w:tentative="1">
      <w:start w:val="1"/>
      <w:numFmt w:val="lowerLetter"/>
      <w:lvlText w:val="%5."/>
      <w:lvlJc w:val="left"/>
      <w:pPr>
        <w:tabs>
          <w:tab w:val="num" w:pos="4020"/>
        </w:tabs>
        <w:ind w:left="4020" w:hanging="360"/>
      </w:pPr>
    </w:lvl>
    <w:lvl w:ilvl="5" w:tplc="041F001B" w:tentative="1">
      <w:start w:val="1"/>
      <w:numFmt w:val="lowerRoman"/>
      <w:lvlText w:val="%6."/>
      <w:lvlJc w:val="right"/>
      <w:pPr>
        <w:tabs>
          <w:tab w:val="num" w:pos="4740"/>
        </w:tabs>
        <w:ind w:left="4740" w:hanging="180"/>
      </w:pPr>
    </w:lvl>
    <w:lvl w:ilvl="6" w:tplc="041F000F" w:tentative="1">
      <w:start w:val="1"/>
      <w:numFmt w:val="decimal"/>
      <w:lvlText w:val="%7."/>
      <w:lvlJc w:val="left"/>
      <w:pPr>
        <w:tabs>
          <w:tab w:val="num" w:pos="5460"/>
        </w:tabs>
        <w:ind w:left="5460" w:hanging="360"/>
      </w:pPr>
    </w:lvl>
    <w:lvl w:ilvl="7" w:tplc="041F0019" w:tentative="1">
      <w:start w:val="1"/>
      <w:numFmt w:val="lowerLetter"/>
      <w:lvlText w:val="%8."/>
      <w:lvlJc w:val="left"/>
      <w:pPr>
        <w:tabs>
          <w:tab w:val="num" w:pos="6180"/>
        </w:tabs>
        <w:ind w:left="6180" w:hanging="360"/>
      </w:pPr>
    </w:lvl>
    <w:lvl w:ilvl="8" w:tplc="041F001B" w:tentative="1">
      <w:start w:val="1"/>
      <w:numFmt w:val="lowerRoman"/>
      <w:lvlText w:val="%9."/>
      <w:lvlJc w:val="right"/>
      <w:pPr>
        <w:tabs>
          <w:tab w:val="num" w:pos="6900"/>
        </w:tabs>
        <w:ind w:left="6900" w:hanging="180"/>
      </w:pPr>
    </w:lvl>
  </w:abstractNum>
  <w:abstractNum w:abstractNumId="1" w15:restartNumberingAfterBreak="0">
    <w:nsid w:val="338F3E9B"/>
    <w:multiLevelType w:val="hybridMultilevel"/>
    <w:tmpl w:val="AB62794C"/>
    <w:lvl w:ilvl="0" w:tplc="DBCA5266">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8720635"/>
    <w:multiLevelType w:val="hybridMultilevel"/>
    <w:tmpl w:val="3A50958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F0A18E2"/>
    <w:multiLevelType w:val="hybridMultilevel"/>
    <w:tmpl w:val="41B64A62"/>
    <w:lvl w:ilvl="0" w:tplc="BC14CCD2">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860"/>
        </w:tabs>
        <w:ind w:left="1860" w:hanging="360"/>
      </w:pPr>
    </w:lvl>
    <w:lvl w:ilvl="2" w:tplc="041F001B" w:tentative="1">
      <w:start w:val="1"/>
      <w:numFmt w:val="lowerRoman"/>
      <w:lvlText w:val="%3."/>
      <w:lvlJc w:val="right"/>
      <w:pPr>
        <w:tabs>
          <w:tab w:val="num" w:pos="2580"/>
        </w:tabs>
        <w:ind w:left="2580" w:hanging="180"/>
      </w:pPr>
    </w:lvl>
    <w:lvl w:ilvl="3" w:tplc="041F000F" w:tentative="1">
      <w:start w:val="1"/>
      <w:numFmt w:val="decimal"/>
      <w:lvlText w:val="%4."/>
      <w:lvlJc w:val="left"/>
      <w:pPr>
        <w:tabs>
          <w:tab w:val="num" w:pos="3300"/>
        </w:tabs>
        <w:ind w:left="3300" w:hanging="360"/>
      </w:pPr>
    </w:lvl>
    <w:lvl w:ilvl="4" w:tplc="041F0019" w:tentative="1">
      <w:start w:val="1"/>
      <w:numFmt w:val="lowerLetter"/>
      <w:lvlText w:val="%5."/>
      <w:lvlJc w:val="left"/>
      <w:pPr>
        <w:tabs>
          <w:tab w:val="num" w:pos="4020"/>
        </w:tabs>
        <w:ind w:left="4020" w:hanging="360"/>
      </w:pPr>
    </w:lvl>
    <w:lvl w:ilvl="5" w:tplc="041F001B" w:tentative="1">
      <w:start w:val="1"/>
      <w:numFmt w:val="lowerRoman"/>
      <w:lvlText w:val="%6."/>
      <w:lvlJc w:val="right"/>
      <w:pPr>
        <w:tabs>
          <w:tab w:val="num" w:pos="4740"/>
        </w:tabs>
        <w:ind w:left="4740" w:hanging="180"/>
      </w:pPr>
    </w:lvl>
    <w:lvl w:ilvl="6" w:tplc="041F000F" w:tentative="1">
      <w:start w:val="1"/>
      <w:numFmt w:val="decimal"/>
      <w:lvlText w:val="%7."/>
      <w:lvlJc w:val="left"/>
      <w:pPr>
        <w:tabs>
          <w:tab w:val="num" w:pos="5460"/>
        </w:tabs>
        <w:ind w:left="5460" w:hanging="360"/>
      </w:pPr>
    </w:lvl>
    <w:lvl w:ilvl="7" w:tplc="041F0019" w:tentative="1">
      <w:start w:val="1"/>
      <w:numFmt w:val="lowerLetter"/>
      <w:lvlText w:val="%8."/>
      <w:lvlJc w:val="left"/>
      <w:pPr>
        <w:tabs>
          <w:tab w:val="num" w:pos="6180"/>
        </w:tabs>
        <w:ind w:left="6180" w:hanging="360"/>
      </w:pPr>
    </w:lvl>
    <w:lvl w:ilvl="8" w:tplc="041F001B" w:tentative="1">
      <w:start w:val="1"/>
      <w:numFmt w:val="lowerRoman"/>
      <w:lvlText w:val="%9."/>
      <w:lvlJc w:val="right"/>
      <w:pPr>
        <w:tabs>
          <w:tab w:val="num" w:pos="6900"/>
        </w:tabs>
        <w:ind w:left="69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29"/>
    <w:rsid w:val="00244095"/>
    <w:rsid w:val="00301223"/>
    <w:rsid w:val="00605E29"/>
    <w:rsid w:val="006F08E5"/>
    <w:rsid w:val="007E4BE7"/>
    <w:rsid w:val="00AF5855"/>
    <w:rsid w:val="00F22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8628A-831A-4D3E-A657-2D1B8CB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29"/>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605E29"/>
    <w:pPr>
      <w:keepNext/>
      <w:overflowPunct w:val="0"/>
      <w:autoSpaceDE w:val="0"/>
      <w:autoSpaceDN w:val="0"/>
      <w:adjustRightInd w:val="0"/>
      <w:textAlignment w:val="baseline"/>
      <w:outlineLvl w:val="1"/>
    </w:pPr>
    <w:rPr>
      <w:rFonts w:ascii="Arial" w:hAnsi="Arial"/>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05E29"/>
    <w:rPr>
      <w:rFonts w:ascii="Arial" w:eastAsia="Times New Roman" w:hAnsi="Arial" w:cs="Times New Roman"/>
      <w:b/>
      <w:color w:val="000000"/>
      <w:sz w:val="20"/>
      <w:szCs w:val="20"/>
      <w:lang w:eastAsia="tr-TR"/>
    </w:rPr>
  </w:style>
  <w:style w:type="paragraph" w:customStyle="1" w:styleId="Default">
    <w:name w:val="Default"/>
    <w:rsid w:val="00605E2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
    <w:name w:val="3-Normal Yazı"/>
    <w:rsid w:val="00605E29"/>
    <w:pPr>
      <w:tabs>
        <w:tab w:val="left" w:pos="566"/>
      </w:tabs>
      <w:spacing w:after="0" w:line="240" w:lineRule="auto"/>
      <w:jc w:val="both"/>
    </w:pPr>
    <w:rPr>
      <w:rFonts w:ascii="Times New Roman" w:eastAsia="Times New Roman" w:hAnsi="Times New Roman" w:cs="Times New Roman"/>
      <w:sz w:val="19"/>
      <w:szCs w:val="20"/>
    </w:rPr>
  </w:style>
  <w:style w:type="paragraph" w:customStyle="1" w:styleId="BodyText21">
    <w:name w:val="Body Text 21"/>
    <w:basedOn w:val="Normal"/>
    <w:rsid w:val="00605E29"/>
    <w:pPr>
      <w:overflowPunct w:val="0"/>
      <w:autoSpaceDE w:val="0"/>
      <w:autoSpaceDN w:val="0"/>
      <w:adjustRightInd w:val="0"/>
      <w:spacing w:after="60"/>
      <w:ind w:firstLine="340"/>
      <w:jc w:val="both"/>
      <w:textAlignment w:val="baseline"/>
    </w:pPr>
    <w:rPr>
      <w:sz w:val="28"/>
      <w:szCs w:val="20"/>
    </w:rPr>
  </w:style>
  <w:style w:type="paragraph" w:styleId="Liste">
    <w:name w:val="List"/>
    <w:basedOn w:val="Normal"/>
    <w:rsid w:val="00605E29"/>
    <w:pPr>
      <w:ind w:left="283" w:hanging="283"/>
    </w:pPr>
  </w:style>
  <w:style w:type="paragraph" w:styleId="AralkYok">
    <w:name w:val="No Spacing"/>
    <w:uiPriority w:val="1"/>
    <w:qFormat/>
    <w:rsid w:val="00605E29"/>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05E29"/>
    <w:pPr>
      <w:ind w:left="708"/>
    </w:pPr>
  </w:style>
  <w:style w:type="paragraph" w:styleId="a">
    <w:basedOn w:val="Normal"/>
    <w:next w:val="AltBilgi"/>
    <w:link w:val="AltbilgiChar"/>
    <w:uiPriority w:val="99"/>
    <w:rsid w:val="00605E29"/>
    <w:pPr>
      <w:tabs>
        <w:tab w:val="center" w:pos="4536"/>
        <w:tab w:val="right" w:pos="9072"/>
      </w:tabs>
    </w:pPr>
    <w:rPr>
      <w:rFonts w:asciiTheme="minorHAnsi" w:eastAsiaTheme="minorHAnsi" w:hAnsiTheme="minorHAnsi" w:cstheme="minorBidi"/>
      <w:lang w:eastAsia="en-US"/>
    </w:rPr>
  </w:style>
  <w:style w:type="character" w:customStyle="1" w:styleId="AltbilgiChar">
    <w:name w:val="Altbilgi Char"/>
    <w:link w:val="a"/>
    <w:uiPriority w:val="99"/>
    <w:rsid w:val="00605E29"/>
    <w:rPr>
      <w:sz w:val="24"/>
      <w:szCs w:val="24"/>
    </w:rPr>
  </w:style>
  <w:style w:type="paragraph" w:styleId="AltBilgi">
    <w:name w:val="footer"/>
    <w:basedOn w:val="Normal"/>
    <w:link w:val="AltBilgiChar0"/>
    <w:uiPriority w:val="99"/>
    <w:semiHidden/>
    <w:unhideWhenUsed/>
    <w:rsid w:val="00605E29"/>
    <w:pPr>
      <w:tabs>
        <w:tab w:val="center" w:pos="4536"/>
        <w:tab w:val="right" w:pos="9072"/>
      </w:tabs>
    </w:pPr>
  </w:style>
  <w:style w:type="character" w:customStyle="1" w:styleId="AltBilgiChar0">
    <w:name w:val="Alt Bilgi Char"/>
    <w:basedOn w:val="VarsaylanParagrafYazTipi"/>
    <w:link w:val="AltBilgi"/>
    <w:uiPriority w:val="99"/>
    <w:semiHidden/>
    <w:rsid w:val="00605E2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2479</Words>
  <Characters>14133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dc:creator>
  <cp:keywords/>
  <dc:description/>
  <cp:lastModifiedBy>MELİH</cp:lastModifiedBy>
  <cp:revision>1</cp:revision>
  <dcterms:created xsi:type="dcterms:W3CDTF">2025-02-20T07:43:00Z</dcterms:created>
  <dcterms:modified xsi:type="dcterms:W3CDTF">2025-02-20T07:44:00Z</dcterms:modified>
</cp:coreProperties>
</file>